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B09F" w14:textId="77777777" w:rsidR="0056456F" w:rsidRDefault="0056456F" w:rsidP="0056456F">
      <w:pPr>
        <w:rPr>
          <w:lang w:val="es-ES" w:eastAsia="es-ES"/>
        </w:rPr>
      </w:pPr>
      <w:bookmarkStart w:id="0" w:name="_Toc92916920"/>
    </w:p>
    <w:p w14:paraId="7F22B32D" w14:textId="77777777" w:rsidR="0056456F" w:rsidRDefault="0056456F" w:rsidP="0056456F">
      <w:pPr>
        <w:rPr>
          <w:lang w:val="es-ES" w:eastAsia="es-ES"/>
        </w:rPr>
      </w:pPr>
    </w:p>
    <w:p w14:paraId="7140C95E" w14:textId="77777777" w:rsidR="0056456F" w:rsidRDefault="0056456F" w:rsidP="0056456F">
      <w:pPr>
        <w:rPr>
          <w:lang w:val="es-ES" w:eastAsia="es-ES"/>
        </w:rPr>
      </w:pPr>
    </w:p>
    <w:p w14:paraId="5D7A1D73" w14:textId="77777777" w:rsidR="0056456F" w:rsidRDefault="0056456F" w:rsidP="0056456F">
      <w:pPr>
        <w:rPr>
          <w:lang w:val="es-ES" w:eastAsia="es-ES"/>
        </w:rPr>
      </w:pPr>
    </w:p>
    <w:p w14:paraId="30C899D2" w14:textId="77777777" w:rsidR="0056456F" w:rsidRDefault="0056456F" w:rsidP="0056456F">
      <w:pPr>
        <w:rPr>
          <w:lang w:val="es-ES" w:eastAsia="es-ES"/>
        </w:rPr>
      </w:pPr>
    </w:p>
    <w:p w14:paraId="1AC1ED5A" w14:textId="77777777" w:rsidR="0056456F" w:rsidRDefault="0056456F" w:rsidP="0056456F">
      <w:pPr>
        <w:rPr>
          <w:lang w:val="es-ES" w:eastAsia="es-ES"/>
        </w:rPr>
      </w:pPr>
    </w:p>
    <w:p w14:paraId="1CBB43EE" w14:textId="77777777" w:rsidR="0056456F" w:rsidRDefault="0056456F" w:rsidP="0056456F">
      <w:pPr>
        <w:rPr>
          <w:lang w:val="es-ES" w:eastAsia="es-ES"/>
        </w:rPr>
      </w:pPr>
    </w:p>
    <w:p w14:paraId="5729B7B5" w14:textId="77777777" w:rsidR="0056456F" w:rsidRDefault="0056456F" w:rsidP="0056456F">
      <w:pPr>
        <w:rPr>
          <w:lang w:val="es-ES" w:eastAsia="es-ES"/>
        </w:rPr>
      </w:pPr>
      <w:r>
        <w:rPr>
          <w:b/>
          <w:bCs/>
          <w:noProof/>
          <w:sz w:val="28"/>
          <w:szCs w:val="28"/>
          <w:lang w:val="es-ES" w:eastAsia="es-ES"/>
        </w:rPr>
        <mc:AlternateContent>
          <mc:Choice Requires="wps">
            <w:drawing>
              <wp:anchor distT="0" distB="0" distL="114300" distR="114300" simplePos="0" relativeHeight="251659264" behindDoc="0" locked="0" layoutInCell="1" allowOverlap="1" wp14:anchorId="5BFD6ED5" wp14:editId="2491BA19">
                <wp:simplePos x="0" y="0"/>
                <wp:positionH relativeFrom="margin">
                  <wp:align>right</wp:align>
                </wp:positionH>
                <wp:positionV relativeFrom="paragraph">
                  <wp:posOffset>22860</wp:posOffset>
                </wp:positionV>
                <wp:extent cx="5543550" cy="3562350"/>
                <wp:effectExtent l="19050" t="19050" r="19050" b="19050"/>
                <wp:wrapNone/>
                <wp:docPr id="2" name="Rectángulo: esquinas redondeadas 2"/>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BA9F5" w14:textId="7E2097AE" w:rsidR="0056456F" w:rsidRPr="00183A10" w:rsidRDefault="0056456F" w:rsidP="0056456F">
                            <w:pPr>
                              <w:jc w:val="center"/>
                              <w:rPr>
                                <w:color w:val="44546A" w:themeColor="text2"/>
                                <w:lang w:val="es-ES"/>
                              </w:rPr>
                            </w:pPr>
                            <w:r>
                              <w:rPr>
                                <w:color w:val="44546A" w:themeColor="text2"/>
                                <w:sz w:val="48"/>
                                <w:szCs w:val="48"/>
                                <w:lang w:val="es-ES" w:eastAsia="es-ES"/>
                              </w:rPr>
                              <w:t>MODELOS DE GESTION PARA LA CONFORMACION DE UNA EPSA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FD6ED5" id="Rectángulo: esquinas redondeadas 2" o:spid="_x0000_s1026" style="position:absolute;margin-left:385.3pt;margin-top:1.8pt;width:436.5pt;height:28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" filled="f" strokecolor="#1f3763 [1604]" strokeweight="2.5pt">
                <v:stroke joinstyle="miter"/>
                <v:textbox>
                  <w:txbxContent>
                    <w:p w14:paraId="293BA9F5" w14:textId="7E2097AE" w:rsidR="0056456F" w:rsidRPr="00183A10" w:rsidRDefault="0056456F" w:rsidP="0056456F">
                      <w:pPr>
                        <w:jc w:val="center"/>
                        <w:rPr>
                          <w:color w:val="44546A" w:themeColor="text2"/>
                          <w:lang w:val="es-ES"/>
                        </w:rPr>
                      </w:pPr>
                      <w:r>
                        <w:rPr>
                          <w:color w:val="44546A" w:themeColor="text2"/>
                          <w:sz w:val="48"/>
                          <w:szCs w:val="48"/>
                          <w:lang w:val="es-ES" w:eastAsia="es-ES"/>
                        </w:rPr>
                        <w:t>MODELOS DE GESTION PARA LA CONFORMACION DE UNA EPSA</w:t>
                      </w:r>
                    </w:p>
                  </w:txbxContent>
                </v:textbox>
                <w10:wrap anchorx="margin"/>
              </v:roundrect>
            </w:pict>
          </mc:Fallback>
        </mc:AlternateContent>
      </w:r>
    </w:p>
    <w:p w14:paraId="76798812" w14:textId="77777777" w:rsidR="0056456F" w:rsidRDefault="0056456F" w:rsidP="0056456F">
      <w:pPr>
        <w:rPr>
          <w:lang w:val="es-ES" w:eastAsia="es-ES"/>
        </w:rPr>
      </w:pPr>
    </w:p>
    <w:p w14:paraId="2F661B44" w14:textId="77777777" w:rsidR="0056456F" w:rsidRDefault="0056456F" w:rsidP="0056456F">
      <w:pPr>
        <w:rPr>
          <w:lang w:val="es-ES" w:eastAsia="es-ES"/>
        </w:rPr>
      </w:pPr>
    </w:p>
    <w:p w14:paraId="7B30DBF0" w14:textId="77777777" w:rsidR="0056456F" w:rsidRDefault="0056456F" w:rsidP="0056456F">
      <w:pPr>
        <w:tabs>
          <w:tab w:val="left" w:pos="4170"/>
        </w:tabs>
        <w:rPr>
          <w:lang w:val="es-ES" w:eastAsia="es-ES"/>
        </w:rPr>
      </w:pPr>
      <w:r>
        <w:rPr>
          <w:lang w:val="es-ES" w:eastAsia="es-ES"/>
        </w:rPr>
        <w:tab/>
      </w:r>
    </w:p>
    <w:p w14:paraId="1C727708" w14:textId="77777777" w:rsidR="0056456F" w:rsidRDefault="0056456F" w:rsidP="0056456F">
      <w:pPr>
        <w:rPr>
          <w:lang w:val="es-ES" w:eastAsia="es-ES"/>
        </w:rPr>
      </w:pPr>
    </w:p>
    <w:p w14:paraId="6E4D36A9" w14:textId="77777777" w:rsidR="0056456F" w:rsidRDefault="0056456F" w:rsidP="0056456F">
      <w:pPr>
        <w:rPr>
          <w:lang w:val="es-ES" w:eastAsia="es-ES"/>
        </w:rPr>
      </w:pPr>
    </w:p>
    <w:p w14:paraId="2336D98C" w14:textId="77777777" w:rsidR="0056456F" w:rsidRDefault="0056456F" w:rsidP="0056456F">
      <w:pPr>
        <w:rPr>
          <w:lang w:val="es-ES" w:eastAsia="es-ES"/>
        </w:rPr>
      </w:pPr>
    </w:p>
    <w:p w14:paraId="0A4495EC" w14:textId="77777777" w:rsidR="0056456F" w:rsidRDefault="0056456F" w:rsidP="0056456F">
      <w:pPr>
        <w:rPr>
          <w:lang w:val="es-ES" w:eastAsia="es-ES"/>
        </w:rPr>
      </w:pPr>
    </w:p>
    <w:p w14:paraId="04382BD8" w14:textId="77777777" w:rsidR="0056456F" w:rsidRDefault="0056456F" w:rsidP="0056456F">
      <w:pPr>
        <w:rPr>
          <w:lang w:val="es-ES" w:eastAsia="es-ES"/>
        </w:rPr>
      </w:pPr>
    </w:p>
    <w:p w14:paraId="79F6BE47" w14:textId="77777777" w:rsidR="0056456F" w:rsidRDefault="0056456F" w:rsidP="0056456F">
      <w:pPr>
        <w:rPr>
          <w:lang w:val="es-ES" w:eastAsia="es-ES"/>
        </w:rPr>
      </w:pPr>
    </w:p>
    <w:p w14:paraId="09EEAE92" w14:textId="77777777" w:rsidR="0056456F" w:rsidRDefault="0056456F" w:rsidP="0056456F">
      <w:pPr>
        <w:rPr>
          <w:lang w:val="es-ES" w:eastAsia="es-ES"/>
        </w:rPr>
      </w:pPr>
    </w:p>
    <w:p w14:paraId="24ABC56C" w14:textId="77777777" w:rsidR="0056456F" w:rsidRDefault="0056456F" w:rsidP="0056456F">
      <w:pPr>
        <w:rPr>
          <w:lang w:val="es-ES" w:eastAsia="es-ES"/>
        </w:rPr>
      </w:pPr>
    </w:p>
    <w:p w14:paraId="6CC1846B" w14:textId="77777777" w:rsidR="0056456F" w:rsidRDefault="0056456F" w:rsidP="0056456F">
      <w:pPr>
        <w:rPr>
          <w:lang w:val="es-ES" w:eastAsia="es-ES"/>
        </w:rPr>
      </w:pPr>
    </w:p>
    <w:p w14:paraId="5701E1F3" w14:textId="77777777" w:rsidR="0056456F" w:rsidRDefault="0056456F" w:rsidP="0056456F">
      <w:pPr>
        <w:rPr>
          <w:lang w:val="es-ES" w:eastAsia="es-ES"/>
        </w:rPr>
      </w:pPr>
    </w:p>
    <w:p w14:paraId="7E460276" w14:textId="77777777" w:rsidR="0056456F" w:rsidRDefault="0056456F" w:rsidP="0056456F">
      <w:pPr>
        <w:rPr>
          <w:lang w:val="es-ES" w:eastAsia="es-ES"/>
        </w:rPr>
      </w:pPr>
    </w:p>
    <w:p w14:paraId="5ED96B3E" w14:textId="77777777" w:rsidR="0056456F" w:rsidRDefault="0056456F" w:rsidP="0056456F">
      <w:pPr>
        <w:rPr>
          <w:lang w:val="es-ES" w:eastAsia="es-ES"/>
        </w:rPr>
      </w:pPr>
    </w:p>
    <w:p w14:paraId="55F40576" w14:textId="77777777" w:rsidR="0056456F" w:rsidRDefault="0056456F" w:rsidP="0056456F">
      <w:pPr>
        <w:rPr>
          <w:lang w:val="es-ES" w:eastAsia="es-ES"/>
        </w:rPr>
      </w:pPr>
    </w:p>
    <w:p w14:paraId="0D8254D7" w14:textId="77777777" w:rsidR="0056456F" w:rsidRDefault="0056456F" w:rsidP="0056456F">
      <w:pPr>
        <w:rPr>
          <w:lang w:val="es-ES" w:eastAsia="es-ES"/>
        </w:rPr>
      </w:pPr>
    </w:p>
    <w:p w14:paraId="5E0AF9CA" w14:textId="77777777" w:rsidR="00786E28" w:rsidRPr="0056181C" w:rsidRDefault="00786E28" w:rsidP="00786E28">
      <w:pPr>
        <w:pStyle w:val="Ttulo2"/>
        <w:spacing w:line="240" w:lineRule="auto"/>
        <w:jc w:val="center"/>
        <w:rPr>
          <w:rFonts w:ascii="Arial" w:eastAsia="Times New Roman" w:hAnsi="Arial" w:cs="Arial"/>
          <w:b/>
          <w:bCs/>
          <w:color w:val="auto"/>
          <w:sz w:val="22"/>
          <w:szCs w:val="22"/>
          <w:lang w:val="es-BO"/>
        </w:rPr>
      </w:pPr>
      <w:r w:rsidRPr="0056181C">
        <w:rPr>
          <w:rFonts w:ascii="Arial" w:eastAsia="Times New Roman" w:hAnsi="Arial" w:cs="Arial"/>
          <w:b/>
          <w:bCs/>
          <w:color w:val="auto"/>
          <w:sz w:val="22"/>
          <w:szCs w:val="22"/>
          <w:lang w:val="es-BO"/>
        </w:rPr>
        <w:lastRenderedPageBreak/>
        <w:t>MODELO</w:t>
      </w:r>
      <w:r>
        <w:rPr>
          <w:rFonts w:ascii="Arial" w:eastAsia="Times New Roman" w:hAnsi="Arial" w:cs="Arial"/>
          <w:b/>
          <w:bCs/>
          <w:color w:val="auto"/>
          <w:sz w:val="22"/>
          <w:szCs w:val="22"/>
          <w:lang w:val="es-BO"/>
        </w:rPr>
        <w:t>S</w:t>
      </w:r>
      <w:r w:rsidRPr="0056181C">
        <w:rPr>
          <w:rFonts w:ascii="Arial" w:eastAsia="Times New Roman" w:hAnsi="Arial" w:cs="Arial"/>
          <w:b/>
          <w:bCs/>
          <w:color w:val="auto"/>
          <w:sz w:val="22"/>
          <w:szCs w:val="22"/>
          <w:lang w:val="es-BO"/>
        </w:rPr>
        <w:t xml:space="preserve"> DE GESTION PARA LA CONFORMACION DE UNA EPSA</w:t>
      </w:r>
      <w:bookmarkEnd w:id="0"/>
    </w:p>
    <w:p w14:paraId="661DAF0B" w14:textId="77777777" w:rsidR="00786E28" w:rsidRPr="0056181C" w:rsidRDefault="00786E28" w:rsidP="00786E28">
      <w:pPr>
        <w:tabs>
          <w:tab w:val="left" w:pos="5625"/>
        </w:tabs>
        <w:spacing w:after="0" w:line="240" w:lineRule="auto"/>
        <w:rPr>
          <w:rFonts w:ascii="Arial" w:eastAsia="Times New Roman" w:hAnsi="Arial" w:cs="Arial"/>
          <w:lang w:val="es-ES_tradnl" w:eastAsia="es-ES"/>
        </w:rPr>
      </w:pPr>
    </w:p>
    <w:p w14:paraId="1BD13215" w14:textId="77777777" w:rsidR="00786E28" w:rsidRPr="00786E28" w:rsidRDefault="00786E28" w:rsidP="00786E28">
      <w:pPr>
        <w:spacing w:after="0" w:line="240" w:lineRule="auto"/>
        <w:jc w:val="both"/>
        <w:rPr>
          <w:rFonts w:ascii="Arial" w:hAnsi="Arial" w:cs="Arial"/>
          <w:lang w:val="es-ES_tradnl"/>
        </w:rPr>
      </w:pPr>
    </w:p>
    <w:p w14:paraId="437B177C" w14:textId="77777777" w:rsidR="00786E28" w:rsidRPr="00F91A7F" w:rsidRDefault="00786E28" w:rsidP="00786E28">
      <w:pPr>
        <w:spacing w:after="0" w:line="240" w:lineRule="auto"/>
        <w:jc w:val="both"/>
        <w:rPr>
          <w:rFonts w:ascii="Arial" w:hAnsi="Arial" w:cs="Arial"/>
        </w:rPr>
      </w:pPr>
      <w:r w:rsidRPr="00F91A7F">
        <w:rPr>
          <w:rFonts w:ascii="Arial" w:hAnsi="Arial" w:cs="Arial"/>
        </w:rPr>
        <w:t>El término “Modelo de Gestión” nace como una interpretación hecha a la normativa que data al menos del año 2000 en lo indicado en la Ley 2066 (Ley de Prestación y Utilización de Servicios de Agua Potable y Alcantarillado Sanitario) y a lo establecido en la actual Constitución Política del Estado – CPE.</w:t>
      </w:r>
    </w:p>
    <w:p w14:paraId="6440D14D" w14:textId="77777777" w:rsidR="00786E28" w:rsidRPr="00F91A7F" w:rsidRDefault="00786E28" w:rsidP="00786E28">
      <w:pPr>
        <w:spacing w:after="0" w:line="240" w:lineRule="auto"/>
        <w:jc w:val="both"/>
        <w:rPr>
          <w:rFonts w:ascii="Arial" w:hAnsi="Arial" w:cs="Arial"/>
        </w:rPr>
      </w:pPr>
    </w:p>
    <w:p w14:paraId="25AA6E56" w14:textId="77777777" w:rsidR="00786E28" w:rsidRPr="00F91A7F" w:rsidRDefault="00786E28" w:rsidP="00786E28">
      <w:pPr>
        <w:spacing w:line="240" w:lineRule="auto"/>
        <w:jc w:val="both"/>
        <w:rPr>
          <w:rFonts w:ascii="Arial" w:hAnsi="Arial" w:cs="Arial"/>
          <w:lang w:val="es-ES"/>
        </w:rPr>
      </w:pPr>
      <w:r w:rsidRPr="00F91A7F">
        <w:rPr>
          <w:rFonts w:ascii="Arial" w:hAnsi="Arial" w:cs="Arial"/>
          <w:lang w:val="es-ES"/>
        </w:rPr>
        <w:t>La Ley 2066 Ley de Prestación de Servicios de Agua y Alcantarillado Sanitario del 11 abril 2000, en su Capítulo II, Art 8 de Definiciones, inciso k), define siete formas de Constitución de las EPSA entre las que se encuentran la Empresa pública municipal, dependiente de uno o más gobiernos municipales, la Sociedad Anónima Mixta, la Empresa privada, la Cooperativa de servicios públicos, la Asociación civil, los Pueblos indígenas y originarios, las comunidades indígenas y campesinas, asociaciones, organizaciones y sindicatos campesinos y los Comités de agua.  Nótese que en ningún caso se hace referencia a modelos de gestión.</w:t>
      </w:r>
    </w:p>
    <w:p w14:paraId="16579A48" w14:textId="77777777" w:rsidR="00786E28" w:rsidRPr="00F91A7F" w:rsidRDefault="00786E28" w:rsidP="00786E28">
      <w:pPr>
        <w:spacing w:line="240" w:lineRule="auto"/>
        <w:jc w:val="both"/>
        <w:rPr>
          <w:rFonts w:ascii="Arial" w:hAnsi="Arial" w:cs="Arial"/>
          <w:lang w:val="es-ES"/>
        </w:rPr>
      </w:pPr>
      <w:r w:rsidRPr="00F91A7F">
        <w:rPr>
          <w:rFonts w:ascii="Arial" w:hAnsi="Arial" w:cs="Arial"/>
          <w:lang w:val="es-ES"/>
        </w:rPr>
        <w:t xml:space="preserve">Posteriormente, el Reglamento de Gestión de Servicio de Agua Potable y Saneamiento en Zonas No Concesibles de noviembre 2004, en el Título V de Modelos de Gestión de Servicios de Agua Potable y Saneamiento en el Art.71 que hace referencia a los Modelos de Gestión en el Marco de La Ley 2066, indica que: </w:t>
      </w:r>
      <w:proofErr w:type="gramStart"/>
      <w:r w:rsidRPr="00F91A7F">
        <w:rPr>
          <w:rFonts w:ascii="Arial" w:hAnsi="Arial" w:cs="Arial"/>
          <w:lang w:val="es-ES"/>
        </w:rPr>
        <w:t>“….</w:t>
      </w:r>
      <w:proofErr w:type="gramEnd"/>
      <w:r w:rsidRPr="00F91A7F">
        <w:rPr>
          <w:rFonts w:ascii="Arial" w:hAnsi="Arial" w:cs="Arial"/>
          <w:lang w:val="es-ES"/>
        </w:rPr>
        <w:t xml:space="preserve">. La Ley No. 2066.- En su Art, 8, inciso k) establece los siguientes </w:t>
      </w:r>
      <w:r w:rsidRPr="00F91A7F">
        <w:rPr>
          <w:rFonts w:ascii="Arial" w:hAnsi="Arial" w:cs="Arial"/>
          <w:b/>
          <w:lang w:val="es-ES"/>
        </w:rPr>
        <w:t>Modelos de Gestión</w:t>
      </w:r>
      <w:r w:rsidRPr="00F91A7F">
        <w:rPr>
          <w:rFonts w:ascii="Arial" w:hAnsi="Arial" w:cs="Arial"/>
          <w:lang w:val="es-ES"/>
        </w:rPr>
        <w:t xml:space="preserve"> o formas de constitución de las EPSA”, asimilando de esta manera al modelo de gestión como una forma de constitución.</w:t>
      </w:r>
    </w:p>
    <w:p w14:paraId="39C6891C" w14:textId="77777777" w:rsidR="00786E28" w:rsidRPr="00F91A7F" w:rsidRDefault="00786E28" w:rsidP="00786E28">
      <w:pPr>
        <w:spacing w:line="240" w:lineRule="auto"/>
        <w:jc w:val="both"/>
        <w:rPr>
          <w:rFonts w:ascii="Arial" w:hAnsi="Arial" w:cs="Arial"/>
        </w:rPr>
      </w:pPr>
      <w:r w:rsidRPr="00F91A7F">
        <w:rPr>
          <w:rFonts w:ascii="Arial" w:hAnsi="Arial" w:cs="Arial"/>
        </w:rPr>
        <w:t xml:space="preserve">Por otra parte, el 7 de febrero de 2009,  el Estado Plurinacional de Bolivia en el parágrafo II del artículo 20 de la Constitución Política del Estado establece: “Es responsabilidad del Estado, en todos sus niveles de gobierno, la provisión de los servicios básicos a través de entidades </w:t>
      </w:r>
      <w:r w:rsidRPr="00F91A7F">
        <w:rPr>
          <w:rFonts w:ascii="Arial" w:hAnsi="Arial" w:cs="Arial"/>
          <w:b/>
        </w:rPr>
        <w:t>públicas, mixtas, cooperativas o comunitarias</w:t>
      </w:r>
      <w:r w:rsidRPr="00F91A7F">
        <w:rPr>
          <w:rFonts w:ascii="Arial" w:hAnsi="Arial" w:cs="Arial"/>
        </w:rPr>
        <w:t>.” y en el parágrafo III indica: “El acceso al agua y alcantarillado constituyen derechos humanos, no son objeto de concesión ni privatización y están sujetos a régimen de licencias y registros, conforme a ley”. Como se puede observar, la CPE tampoco hace referencia a Modelos de Gestión, si no a tipos de entidades.</w:t>
      </w:r>
    </w:p>
    <w:p w14:paraId="1086BF8E" w14:textId="77777777" w:rsidR="00786E28" w:rsidRPr="00F91A7F" w:rsidRDefault="00786E28" w:rsidP="00786E28">
      <w:pPr>
        <w:spacing w:line="240" w:lineRule="auto"/>
        <w:jc w:val="both"/>
        <w:rPr>
          <w:rFonts w:ascii="Arial" w:hAnsi="Arial" w:cs="Arial"/>
        </w:rPr>
      </w:pPr>
      <w:r w:rsidRPr="00F91A7F">
        <w:rPr>
          <w:rFonts w:ascii="Arial" w:hAnsi="Arial" w:cs="Arial"/>
        </w:rPr>
        <w:t>Asimismo, la CPE en la cuarta parte de: “Estructura y Organización Económica del Estado” en el Título I de Organización Económica del Estado, en su Capítulo Primero, Artículo 309 referido a la forma de organización económica estatal, se establece que esta organización comprende a las empresas y otras entidades económicas de propiedad estatal, que cumplirán los siguientes objetivos: “……. 2. Administrar los servicios básicos de agua potable y alcantarillado directamente o por medio de empresas públicas, comunitarias, cooperativas o mixtas.</w:t>
      </w:r>
    </w:p>
    <w:p w14:paraId="1C6F6FE6" w14:textId="77777777" w:rsidR="00786E28" w:rsidRPr="00F91A7F" w:rsidRDefault="00786E28" w:rsidP="00786E28">
      <w:pPr>
        <w:spacing w:line="240" w:lineRule="auto"/>
        <w:jc w:val="both"/>
        <w:rPr>
          <w:rFonts w:ascii="Arial" w:hAnsi="Arial" w:cs="Arial"/>
        </w:rPr>
      </w:pPr>
      <w:r w:rsidRPr="00F91A7F">
        <w:rPr>
          <w:rFonts w:ascii="Arial" w:hAnsi="Arial" w:cs="Arial"/>
        </w:rPr>
        <w:t>También precisa en el Artículo 373, en el parágrafo I que: “El agua constituye un derecho fundamentalísimo para la vida, en el marco de la soberanía del pueblo. El Estado promoverá el uso y acceso al agua sobre la base de principios de solidaridad, complementariedad, reciprocidad, equidad, diversidad y sustentabilidad, y en el parágrafo II: “Los recursos hídricos en todos sus estados, superficiales y subterráneos, constituyen recursos finitos, vulnerables, estratégicos y cumplen una función social, cultural y ambiental. Estos recursos no podrán ser objeto de apropiaciones privadas y tanto ellos como sus servicios no serán concesionados y están sujetos a un régimen de Licencias, Registros y autorizaciones conforme a Ley”.</w:t>
      </w:r>
    </w:p>
    <w:p w14:paraId="7A247EB4"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Con estos antecedentes y posteriores estudios de la Cooperación Técnica Alemana GTZ y otras entidades, el SENASBA en el 2017 presenta el Módulo 10 de las Herramientas DESCOM referido a MODELO DE GESTIÓN, en el que indica: “Los modelos de gestión reconocidos por el Estado Plurinacional de </w:t>
      </w:r>
      <w:r w:rsidRPr="0056181C">
        <w:rPr>
          <w:rFonts w:ascii="Arial" w:hAnsi="Arial" w:cs="Arial"/>
          <w:u w:val="single"/>
        </w:rPr>
        <w:t>Bolivia están definidos</w:t>
      </w:r>
      <w:r w:rsidRPr="0056181C">
        <w:rPr>
          <w:rFonts w:ascii="Arial" w:hAnsi="Arial" w:cs="Arial"/>
        </w:rPr>
        <w:t xml:space="preserve"> por la Constitución Política del Estado Plurinacional de </w:t>
      </w:r>
      <w:r w:rsidRPr="0056181C">
        <w:rPr>
          <w:rFonts w:ascii="Arial" w:hAnsi="Arial" w:cs="Arial"/>
        </w:rPr>
        <w:lastRenderedPageBreak/>
        <w:t>Bolivia (CPE) en su artículo 20, párrafo II”. Con lo que, de ahí en más, aunque la CPE no define los modelos de gestión, se asumió que forma de constitución corresponde a Modelo de Gestión.</w:t>
      </w:r>
    </w:p>
    <w:p w14:paraId="651DA96A" w14:textId="77777777" w:rsidR="00786E28" w:rsidRPr="00F91A7F" w:rsidRDefault="00786E28" w:rsidP="00786E28">
      <w:pPr>
        <w:spacing w:line="240" w:lineRule="auto"/>
        <w:jc w:val="both"/>
        <w:rPr>
          <w:rFonts w:ascii="Arial" w:hAnsi="Arial" w:cs="Arial"/>
        </w:rPr>
      </w:pPr>
      <w:r w:rsidRPr="0056181C">
        <w:rPr>
          <w:rFonts w:ascii="Arial" w:hAnsi="Arial" w:cs="Arial"/>
        </w:rPr>
        <w:t>SENASBA (Módulo 10 de las Herramientas DESCOM referido a Modelo de Gestión) : “Los modelos de gestión reconocidos o autorizados para la prestación del servicio público de agua y alcantarillado sanitario son: Entidades públicas (empresas municipales, entidades municipales desconcentradas y entidades municipales descentralizadas), Entidades mixtas (fusión de una entidad pública con una empresa privada) sin fines de lucro, Cooperativas y Comunitarias (Comité de Agua Potable y Saneamiento u otros, según usos y costumbres.</w:t>
      </w:r>
    </w:p>
    <w:p w14:paraId="3DF9223F" w14:textId="77777777" w:rsidR="00786E28" w:rsidRPr="00F91A7F" w:rsidRDefault="00786E28" w:rsidP="00786E28">
      <w:pPr>
        <w:spacing w:line="240" w:lineRule="auto"/>
        <w:jc w:val="both"/>
        <w:rPr>
          <w:rFonts w:ascii="Arial" w:hAnsi="Arial" w:cs="Arial"/>
        </w:rPr>
      </w:pPr>
      <w:r w:rsidRPr="00F91A7F">
        <w:rPr>
          <w:rFonts w:ascii="Arial" w:hAnsi="Arial" w:cs="Arial"/>
          <w:lang w:val="es-ES"/>
        </w:rPr>
        <w:t>En este contexto, debemos coincidir que “</w:t>
      </w:r>
      <w:r w:rsidRPr="00F91A7F">
        <w:rPr>
          <w:rFonts w:ascii="Arial" w:hAnsi="Arial" w:cs="Arial"/>
        </w:rPr>
        <w:t xml:space="preserve">modelo de gestión” no es lo mismo que </w:t>
      </w:r>
      <w:r w:rsidRPr="00F91A7F">
        <w:rPr>
          <w:rFonts w:ascii="Arial" w:hAnsi="Arial" w:cs="Arial"/>
          <w:b/>
        </w:rPr>
        <w:t>organización jurídico institucional,</w:t>
      </w:r>
      <w:r w:rsidRPr="00F91A7F">
        <w:rPr>
          <w:rFonts w:ascii="Arial" w:hAnsi="Arial" w:cs="Arial"/>
        </w:rPr>
        <w:t xml:space="preserve"> que no es otra cosa que la forma de asociación que adopta un grupo de personas para realizar alguna actividad. </w:t>
      </w:r>
    </w:p>
    <w:p w14:paraId="19A3A374" w14:textId="77777777" w:rsidR="00786E28" w:rsidRPr="0056181C" w:rsidRDefault="00786E28" w:rsidP="00786E28">
      <w:pPr>
        <w:spacing w:after="0" w:line="240" w:lineRule="auto"/>
        <w:jc w:val="both"/>
        <w:rPr>
          <w:rFonts w:ascii="Arial" w:hAnsi="Arial" w:cs="Arial"/>
          <w:lang w:val="es-ES"/>
        </w:rPr>
      </w:pPr>
      <w:r w:rsidRPr="0056181C">
        <w:rPr>
          <w:rFonts w:ascii="Arial" w:hAnsi="Arial" w:cs="Arial"/>
          <w:lang w:val="es-ES"/>
        </w:rPr>
        <w:t>En todo caso, a pesar de que “Modelo de Gestión” no es sinónimo de “Forma de Organización o Constitución de una EPSA”, el presente diagnóstico se realizó al tipo de entidades definidas en la CPE como prestadoras de servicio de agua potable y saneamiento:</w:t>
      </w:r>
    </w:p>
    <w:p w14:paraId="35C26771"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Públicas, </w:t>
      </w:r>
    </w:p>
    <w:p w14:paraId="7E072CC5"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Mixtas, </w:t>
      </w:r>
    </w:p>
    <w:p w14:paraId="744D6FC8"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Cooperativas o </w:t>
      </w:r>
    </w:p>
    <w:p w14:paraId="59C6535A"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Comunitarias.</w:t>
      </w:r>
    </w:p>
    <w:p w14:paraId="28787BBD" w14:textId="77777777" w:rsidR="00786E28" w:rsidRPr="0056181C" w:rsidRDefault="00786E28" w:rsidP="00786E28">
      <w:pPr>
        <w:spacing w:after="0" w:line="240" w:lineRule="auto"/>
        <w:jc w:val="both"/>
        <w:rPr>
          <w:rFonts w:ascii="Arial" w:hAnsi="Arial" w:cs="Arial"/>
        </w:rPr>
      </w:pPr>
    </w:p>
    <w:p w14:paraId="312FC58C" w14:textId="77777777" w:rsidR="00786E28" w:rsidRPr="0056181C" w:rsidRDefault="00786E28" w:rsidP="00786E28">
      <w:pPr>
        <w:spacing w:after="0" w:line="240" w:lineRule="auto"/>
        <w:jc w:val="both"/>
        <w:rPr>
          <w:rFonts w:ascii="Arial" w:hAnsi="Arial" w:cs="Arial"/>
          <w:b/>
          <w:bCs/>
          <w:lang w:val="es-ES"/>
        </w:rPr>
      </w:pPr>
      <w:r w:rsidRPr="0056181C">
        <w:rPr>
          <w:rFonts w:ascii="Arial" w:hAnsi="Arial" w:cs="Arial"/>
          <w:b/>
          <w:bCs/>
          <w:lang w:val="es-ES"/>
        </w:rPr>
        <w:t>Características de las EPSA a partir de su Forma de Organización (Modelos de Gestión)</w:t>
      </w:r>
    </w:p>
    <w:p w14:paraId="10BA5511" w14:textId="77777777" w:rsidR="00786E28" w:rsidRPr="0056181C" w:rsidRDefault="00786E28" w:rsidP="00786E28">
      <w:pPr>
        <w:spacing w:after="0" w:line="240" w:lineRule="auto"/>
        <w:jc w:val="both"/>
        <w:rPr>
          <w:rFonts w:ascii="Arial" w:hAnsi="Arial" w:cs="Arial"/>
        </w:rPr>
      </w:pPr>
    </w:p>
    <w:p w14:paraId="575E3269" w14:textId="77777777" w:rsidR="00786E28" w:rsidRPr="0056181C" w:rsidRDefault="00786E28" w:rsidP="00786E28">
      <w:pPr>
        <w:spacing w:after="0" w:line="240" w:lineRule="auto"/>
        <w:jc w:val="both"/>
        <w:rPr>
          <w:rFonts w:ascii="Arial" w:hAnsi="Arial" w:cs="Arial"/>
        </w:rPr>
      </w:pPr>
      <w:r w:rsidRPr="0056181C">
        <w:rPr>
          <w:rFonts w:ascii="Arial" w:hAnsi="Arial" w:cs="Arial"/>
        </w:rPr>
        <w:t>A continuación, se describen los aspectos más relevantes que se deben considerar en los tipos de entidades prestadoras de servicios de agua potable y/o saneamiento básico mencionadas en la Constitución Política del Estado:</w:t>
      </w:r>
    </w:p>
    <w:p w14:paraId="53C0B9B0" w14:textId="77777777" w:rsidR="00786E28" w:rsidRPr="0056181C" w:rsidRDefault="00786E28" w:rsidP="00786E28">
      <w:pPr>
        <w:spacing w:after="0" w:line="240" w:lineRule="auto"/>
        <w:jc w:val="both"/>
        <w:rPr>
          <w:rFonts w:ascii="Arial" w:hAnsi="Arial" w:cs="Arial"/>
          <w:u w:val="single"/>
        </w:rPr>
      </w:pPr>
    </w:p>
    <w:p w14:paraId="23A08316" w14:textId="77777777" w:rsidR="00786E28" w:rsidRPr="0056181C" w:rsidRDefault="00786E28" w:rsidP="00786E28">
      <w:pPr>
        <w:spacing w:after="0" w:line="240" w:lineRule="auto"/>
        <w:jc w:val="both"/>
        <w:outlineLvl w:val="2"/>
        <w:rPr>
          <w:rFonts w:ascii="Arial" w:hAnsi="Arial" w:cs="Arial"/>
          <w:b/>
          <w:u w:val="single"/>
          <w:lang w:val="es-ES_tradnl"/>
        </w:rPr>
      </w:pPr>
      <w:bookmarkStart w:id="1" w:name="_Toc528907148"/>
      <w:bookmarkStart w:id="2" w:name="_Toc530600371"/>
      <w:bookmarkStart w:id="3" w:name="_Toc530943882"/>
      <w:bookmarkStart w:id="4" w:name="_Toc4974635"/>
      <w:r w:rsidRPr="0056181C">
        <w:rPr>
          <w:rFonts w:ascii="Arial" w:hAnsi="Arial" w:cs="Arial"/>
          <w:b/>
          <w:u w:val="single"/>
          <w:lang w:val="es-ES"/>
        </w:rPr>
        <w:t>Entidades Públicas Municipales</w:t>
      </w:r>
      <w:bookmarkEnd w:id="1"/>
      <w:bookmarkEnd w:id="2"/>
      <w:bookmarkEnd w:id="3"/>
      <w:bookmarkEnd w:id="4"/>
    </w:p>
    <w:p w14:paraId="5FD196EA" w14:textId="77777777" w:rsidR="00786E28" w:rsidRPr="0056181C" w:rsidRDefault="00786E28" w:rsidP="00786E28">
      <w:pPr>
        <w:spacing w:after="0" w:line="240" w:lineRule="auto"/>
        <w:jc w:val="both"/>
        <w:rPr>
          <w:rFonts w:ascii="Arial" w:hAnsi="Arial" w:cs="Arial"/>
        </w:rPr>
      </w:pPr>
    </w:p>
    <w:p w14:paraId="06978A7E" w14:textId="77777777" w:rsidR="00786E28" w:rsidRPr="0056181C" w:rsidRDefault="00786E28" w:rsidP="00786E28">
      <w:pPr>
        <w:spacing w:after="0" w:line="240" w:lineRule="auto"/>
        <w:jc w:val="both"/>
        <w:outlineLvl w:val="2"/>
        <w:rPr>
          <w:rFonts w:ascii="Arial" w:hAnsi="Arial" w:cs="Arial"/>
          <w:b/>
          <w:lang w:val="es-ES_tradnl"/>
        </w:rPr>
      </w:pPr>
      <w:r w:rsidRPr="0056181C">
        <w:rPr>
          <w:rFonts w:ascii="Arial" w:hAnsi="Arial" w:cs="Arial"/>
        </w:rPr>
        <w:t>El punto 2 del parágrafo II del artículo 83 de la Ley de Autonomías señala que el numeral 9 del parágrafo II del artículo 299 de la Constitución Política del Estado y en el marco de la delegación de la facultad reglamentaria y/o ejecutiva de la competencia exclusiva del Numeral 30 del Parágrafo II del artículo 298 de la Constitución Política del Estado, se desarrollan las competencias de la siguiente manera: Gobiernos departamentales autónomos: a) Elaborar, financiar y ejecutar subsidiariamente planes y proyectos de agua potable y alcantarillado de manera concurrente y coordinada con el nivel central del Estado, los gobiernos municipales e indígena originario campesinos que correspondan, pudiendo delegar su operación y mantenimiento a los operadores correspondientes, una vez concluidas las obras. Toda intervención del gobierno departamental debe coordinarse con el municipio o autonomía indígena originaria campesina beneficiaria. b) Coadyuvar con el nivel central del Estado en la asistencia técnica y planificación sobre los servicios básicos de agua potable y alcantarillado.</w:t>
      </w:r>
    </w:p>
    <w:p w14:paraId="7EA8C46F" w14:textId="77777777" w:rsidR="00786E28" w:rsidRPr="0056181C" w:rsidRDefault="00786E28" w:rsidP="00786E28">
      <w:pPr>
        <w:spacing w:after="0" w:line="240" w:lineRule="auto"/>
        <w:rPr>
          <w:rFonts w:ascii="Arial" w:hAnsi="Arial" w:cs="Arial"/>
        </w:rPr>
      </w:pPr>
    </w:p>
    <w:p w14:paraId="2B84CD29" w14:textId="77777777" w:rsidR="00786E28" w:rsidRDefault="00786E28" w:rsidP="00786E28">
      <w:pPr>
        <w:pStyle w:val="Prrafodelista"/>
        <w:spacing w:line="240" w:lineRule="auto"/>
        <w:ind w:left="0"/>
        <w:jc w:val="both"/>
        <w:rPr>
          <w:rFonts w:ascii="Arial" w:hAnsi="Arial" w:cs="Arial"/>
        </w:rPr>
      </w:pPr>
      <w:r w:rsidRPr="0056181C">
        <w:rPr>
          <w:rFonts w:ascii="Arial" w:hAnsi="Arial" w:cs="Arial"/>
          <w:lang w:val="es-ES"/>
        </w:rPr>
        <w:t xml:space="preserve">La Ley No. 2066 establece que los Gobiernos Autónomos Municipales - GAM son responsables </w:t>
      </w:r>
      <w:r w:rsidRPr="0056181C">
        <w:rPr>
          <w:rFonts w:ascii="Arial" w:hAnsi="Arial" w:cs="Arial"/>
        </w:rPr>
        <w:t xml:space="preserve">de la prestación de los servicios de agua potable y saneamiento; por lo tanto, en primera instancia, el GAM está obligado a garantizar la prestación de estos servicios a través de una EPSA municipal, con el fin de asegurar la dotación de agua potable y servicios de saneamiento a la población de su municipio.  </w:t>
      </w:r>
    </w:p>
    <w:p w14:paraId="20BF7B08" w14:textId="77777777" w:rsidR="00786E28" w:rsidRPr="0056181C" w:rsidRDefault="00786E28" w:rsidP="00786E28">
      <w:pPr>
        <w:pStyle w:val="Prrafodelista"/>
        <w:spacing w:line="240" w:lineRule="auto"/>
        <w:ind w:left="0"/>
        <w:jc w:val="both"/>
        <w:rPr>
          <w:rFonts w:ascii="Arial" w:hAnsi="Arial" w:cs="Arial"/>
        </w:rPr>
      </w:pPr>
    </w:p>
    <w:p w14:paraId="6CDFB347" w14:textId="77777777" w:rsidR="00786E28" w:rsidRPr="0056181C" w:rsidRDefault="00786E28" w:rsidP="00786E28">
      <w:pPr>
        <w:pStyle w:val="Prrafodelista"/>
        <w:spacing w:line="240" w:lineRule="auto"/>
        <w:ind w:left="0"/>
        <w:jc w:val="both"/>
        <w:rPr>
          <w:rFonts w:ascii="Arial" w:hAnsi="Arial" w:cs="Arial"/>
        </w:rPr>
      </w:pPr>
      <w:r w:rsidRPr="0056181C">
        <w:rPr>
          <w:rFonts w:ascii="Arial" w:hAnsi="Arial" w:cs="Arial"/>
        </w:rPr>
        <w:t xml:space="preserve">La Ley No. 2066 en el inciso a) del artículo 13 establece que los gobiernos municipales en el ámbito de su jurisdicción son responsables de asegurar la provisión de Servicios de Agua Potable </w:t>
      </w:r>
      <w:r w:rsidRPr="0056181C">
        <w:rPr>
          <w:rFonts w:ascii="Arial" w:hAnsi="Arial" w:cs="Arial"/>
        </w:rPr>
        <w:lastRenderedPageBreak/>
        <w:t xml:space="preserve">y Alcantarillado Sanitario a través de una EPSA concesionada por la Superintendencia de Saneamiento Básico, conforme a la presente ley o en forma directa cuando corresponda, en concordancia con las facultades otorgadas por Ley a los Municipios, en lo referente a la competencia municipal por los Servicios de Agua Potable y Alcantarillado Sanitario.  </w:t>
      </w:r>
    </w:p>
    <w:p w14:paraId="5CED8EAC" w14:textId="77777777" w:rsidR="00786E28" w:rsidRDefault="00786E28" w:rsidP="00786E28">
      <w:pPr>
        <w:spacing w:after="0" w:line="240" w:lineRule="auto"/>
        <w:jc w:val="both"/>
        <w:rPr>
          <w:rFonts w:ascii="Arial" w:hAnsi="Arial" w:cs="Arial"/>
        </w:rPr>
      </w:pPr>
      <w:r w:rsidRPr="0056181C">
        <w:rPr>
          <w:rFonts w:ascii="Arial" w:hAnsi="Arial" w:cs="Arial"/>
          <w:lang w:val="es-ES"/>
        </w:rPr>
        <w:t xml:space="preserve">La ley 2066 establece que los Gobiernos Autónomos Municipales - GAM son responsables </w:t>
      </w:r>
      <w:r w:rsidRPr="0056181C">
        <w:rPr>
          <w:rFonts w:ascii="Arial" w:hAnsi="Arial" w:cs="Arial"/>
        </w:rPr>
        <w:t xml:space="preserve">de la prestación de los servicios de agua potable y saneamiento; por lo tanto, en primera instancia, el GAM está obligado a garantizar la prestación de estos servicios a través de una EPSA municipal, con el fin de asegurar la dotación de agua potable y servicios de saneamiento a la población de su municipio.  </w:t>
      </w:r>
    </w:p>
    <w:p w14:paraId="20873B45" w14:textId="77777777" w:rsidR="00786E28" w:rsidRPr="0056181C" w:rsidRDefault="00786E28" w:rsidP="00786E28">
      <w:pPr>
        <w:spacing w:after="0" w:line="240" w:lineRule="auto"/>
        <w:jc w:val="both"/>
        <w:rPr>
          <w:rFonts w:ascii="Arial" w:hAnsi="Arial" w:cs="Arial"/>
        </w:rPr>
      </w:pPr>
    </w:p>
    <w:p w14:paraId="7EF99749"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El parágrafo I del artículo 24 de la Ley No. 482 señala que el Órgano Ejecutivo estará conformado por: a. La </w:t>
      </w:r>
      <w:proofErr w:type="gramStart"/>
      <w:r w:rsidRPr="0056181C">
        <w:rPr>
          <w:rFonts w:ascii="Arial" w:hAnsi="Arial" w:cs="Arial"/>
        </w:rPr>
        <w:t>Alcaldesa</w:t>
      </w:r>
      <w:proofErr w:type="gramEnd"/>
      <w:r w:rsidRPr="0056181C">
        <w:rPr>
          <w:rFonts w:ascii="Arial" w:hAnsi="Arial" w:cs="Arial"/>
        </w:rPr>
        <w:t xml:space="preserve"> o el Alcalde Municipal. b. Las Secretarías Municipales. </w:t>
      </w:r>
    </w:p>
    <w:p w14:paraId="482DC7D3"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Asimismo, señala que podrá incluir en su estructura: </w:t>
      </w:r>
    </w:p>
    <w:p w14:paraId="1F57D0AE"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a. </w:t>
      </w:r>
      <w:proofErr w:type="gramStart"/>
      <w:r w:rsidRPr="0056181C">
        <w:rPr>
          <w:rFonts w:ascii="Arial" w:hAnsi="Arial" w:cs="Arial"/>
        </w:rPr>
        <w:t>Sub Alcaldías</w:t>
      </w:r>
      <w:proofErr w:type="gramEnd"/>
      <w:r w:rsidRPr="0056181C">
        <w:rPr>
          <w:rFonts w:ascii="Arial" w:hAnsi="Arial" w:cs="Arial"/>
        </w:rPr>
        <w:t xml:space="preserve">. </w:t>
      </w:r>
    </w:p>
    <w:p w14:paraId="06ED73B0"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b. Entidades Desconcentradas Municipales. </w:t>
      </w:r>
    </w:p>
    <w:p w14:paraId="5E7BDD8F"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c. Entidades Descentralizadas Municipales. </w:t>
      </w:r>
    </w:p>
    <w:p w14:paraId="50EFA0BF"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d. Empresas Municipales.</w:t>
      </w:r>
    </w:p>
    <w:p w14:paraId="13F6AB83" w14:textId="77777777" w:rsidR="00786E28" w:rsidRPr="0056181C" w:rsidRDefault="00786E28" w:rsidP="00786E28">
      <w:pPr>
        <w:spacing w:before="100" w:beforeAutospacing="1" w:after="100" w:afterAutospacing="1" w:line="240" w:lineRule="auto"/>
        <w:contextualSpacing/>
        <w:jc w:val="both"/>
        <w:rPr>
          <w:rFonts w:ascii="Arial" w:hAnsi="Arial" w:cs="Arial"/>
        </w:rPr>
      </w:pPr>
    </w:p>
    <w:p w14:paraId="791E782F" w14:textId="77777777" w:rsidR="00786E28" w:rsidRDefault="00786E28" w:rsidP="00786E28">
      <w:pPr>
        <w:spacing w:before="100" w:beforeAutospacing="1" w:after="100" w:afterAutospacing="1" w:line="240" w:lineRule="auto"/>
        <w:contextualSpacing/>
        <w:jc w:val="both"/>
        <w:rPr>
          <w:rFonts w:ascii="Arial" w:hAnsi="Arial" w:cs="Arial"/>
        </w:rPr>
      </w:pPr>
      <w:r w:rsidRPr="0056181C">
        <w:rPr>
          <w:rFonts w:ascii="Arial" w:hAnsi="Arial" w:cs="Arial"/>
        </w:rPr>
        <w:t xml:space="preserve">Los numerales 17 y 28 del artículo 16 de la Ley </w:t>
      </w:r>
      <w:proofErr w:type="spellStart"/>
      <w:r w:rsidRPr="0056181C">
        <w:rPr>
          <w:rFonts w:ascii="Arial" w:hAnsi="Arial" w:cs="Arial"/>
        </w:rPr>
        <w:t>Nº</w:t>
      </w:r>
      <w:proofErr w:type="spellEnd"/>
      <w:r w:rsidRPr="0056181C">
        <w:rPr>
          <w:rFonts w:ascii="Arial" w:hAnsi="Arial" w:cs="Arial"/>
        </w:rPr>
        <w:t xml:space="preserve"> 842 señalan que son atribuciones del Concejo Municipal: 17. Autorizar la creación de Empresas Públicas Municipales en su jurisdicción; 28. Aprobar mediante Ley Municipal los requisitos para la provisión de Servicios Básicos.</w:t>
      </w:r>
    </w:p>
    <w:p w14:paraId="20F59ABD" w14:textId="77777777" w:rsidR="00786E28" w:rsidRDefault="00786E28" w:rsidP="00786E28">
      <w:pPr>
        <w:spacing w:before="100" w:beforeAutospacing="1" w:after="100" w:afterAutospacing="1" w:line="240" w:lineRule="auto"/>
        <w:contextualSpacing/>
        <w:jc w:val="both"/>
        <w:rPr>
          <w:rFonts w:ascii="Arial" w:hAnsi="Arial" w:cs="Arial"/>
        </w:rPr>
      </w:pPr>
    </w:p>
    <w:p w14:paraId="093DFB49" w14:textId="77777777" w:rsidR="00786E28" w:rsidRPr="0056181C" w:rsidRDefault="00786E28" w:rsidP="00786E28">
      <w:pPr>
        <w:spacing w:before="100" w:beforeAutospacing="1" w:after="100" w:afterAutospacing="1" w:line="240" w:lineRule="auto"/>
        <w:contextualSpacing/>
        <w:jc w:val="both"/>
        <w:rPr>
          <w:rFonts w:ascii="Arial" w:hAnsi="Arial" w:cs="Arial"/>
        </w:rPr>
      </w:pPr>
      <w:r w:rsidRPr="0056181C">
        <w:rPr>
          <w:rFonts w:ascii="Arial" w:hAnsi="Arial" w:cs="Arial"/>
        </w:rPr>
        <w:t xml:space="preserve">Por lo que es a través de estos tipos de entidades que actualmente los </w:t>
      </w:r>
      <w:proofErr w:type="spellStart"/>
      <w:r w:rsidRPr="0056181C">
        <w:rPr>
          <w:rFonts w:ascii="Arial" w:hAnsi="Arial" w:cs="Arial"/>
        </w:rPr>
        <w:t>GAMs</w:t>
      </w:r>
      <w:proofErr w:type="spellEnd"/>
      <w:r w:rsidRPr="0056181C">
        <w:rPr>
          <w:rFonts w:ascii="Arial" w:hAnsi="Arial" w:cs="Arial"/>
        </w:rPr>
        <w:t xml:space="preserve"> vienen prestando los servicios de agua potable y alcantarillado sanitario, sin que las mismas sean Modelos de Gestión como tal (como explicamos en los anteriores párrafos).</w:t>
      </w:r>
    </w:p>
    <w:p w14:paraId="29DDE2F5" w14:textId="77777777" w:rsidR="00786E28" w:rsidRPr="0056181C" w:rsidRDefault="00786E28" w:rsidP="00786E28">
      <w:pPr>
        <w:spacing w:after="0" w:line="240" w:lineRule="auto"/>
        <w:jc w:val="both"/>
        <w:rPr>
          <w:rFonts w:ascii="Arial" w:hAnsi="Arial" w:cs="Arial"/>
        </w:rPr>
      </w:pPr>
      <w:r w:rsidRPr="0056181C">
        <w:rPr>
          <w:rFonts w:ascii="Arial" w:hAnsi="Arial" w:cs="Arial"/>
        </w:rPr>
        <w:t>A continuación, describimos las entidades municipales prestadoras de servicio de agua y saneamiento:</w:t>
      </w:r>
    </w:p>
    <w:p w14:paraId="405896C3" w14:textId="77777777" w:rsidR="00786E28" w:rsidRPr="0056181C" w:rsidRDefault="00786E28" w:rsidP="00786E28">
      <w:pPr>
        <w:spacing w:after="0" w:line="240" w:lineRule="auto"/>
        <w:rPr>
          <w:rFonts w:ascii="Arial" w:hAnsi="Arial" w:cs="Arial"/>
        </w:rPr>
      </w:pPr>
    </w:p>
    <w:p w14:paraId="219C94CD" w14:textId="77777777" w:rsidR="00786E28" w:rsidRPr="005A2DBD" w:rsidRDefault="00786E28" w:rsidP="00786E28">
      <w:pPr>
        <w:pStyle w:val="Prrafodelista"/>
        <w:numPr>
          <w:ilvl w:val="0"/>
          <w:numId w:val="5"/>
        </w:numPr>
        <w:spacing w:after="60" w:line="240" w:lineRule="auto"/>
        <w:jc w:val="both"/>
        <w:rPr>
          <w:rFonts w:ascii="Arial" w:hAnsi="Arial" w:cs="Arial"/>
          <w:b/>
        </w:rPr>
      </w:pPr>
      <w:r w:rsidRPr="005A2DBD">
        <w:rPr>
          <w:rFonts w:ascii="Arial" w:hAnsi="Arial" w:cs="Arial"/>
          <w:b/>
        </w:rPr>
        <w:t>Entidades desconcentradas municipales</w:t>
      </w:r>
    </w:p>
    <w:p w14:paraId="0F054DC6"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entidades desconcentradas municipales son unidades funcionales dentro de la estructura interna del GAM, es decir que tienen dependencia directa del </w:t>
      </w:r>
      <w:proofErr w:type="gramStart"/>
      <w:r w:rsidRPr="0056181C">
        <w:rPr>
          <w:rFonts w:ascii="Arial" w:hAnsi="Arial" w:cs="Arial"/>
        </w:rPr>
        <w:t>Alcalde</w:t>
      </w:r>
      <w:proofErr w:type="gramEnd"/>
      <w:r w:rsidRPr="0056181C">
        <w:rPr>
          <w:rFonts w:ascii="Arial" w:hAnsi="Arial" w:cs="Arial"/>
        </w:rPr>
        <w:t xml:space="preserve"> o Alcaldesa Municipal, quien delega las funciones técnicas operativas a un área funcional dentro del GAM (SENASBA Módulo 10 de Herramientas DESCOM.</w:t>
      </w:r>
    </w:p>
    <w:p w14:paraId="59855B7A"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El punto 8 del artículo 26 de la Ley No. 482, señala que el </w:t>
      </w:r>
      <w:proofErr w:type="gramStart"/>
      <w:r w:rsidRPr="0056181C">
        <w:rPr>
          <w:rFonts w:ascii="Arial" w:hAnsi="Arial" w:cs="Arial"/>
        </w:rPr>
        <w:t>Alcalde</w:t>
      </w:r>
      <w:proofErr w:type="gramEnd"/>
      <w:r w:rsidRPr="0056181C">
        <w:rPr>
          <w:rFonts w:ascii="Arial" w:hAnsi="Arial" w:cs="Arial"/>
        </w:rPr>
        <w:t xml:space="preserve"> o Alcaldesa designarán mediante Decreto Edil, a las Secretarias y los Secretarios Municipales, Sub Alcaldesas o Sub Alcaldes de Distritos Municipales y Autoridades de Entidades Desconcentradas Municipales, con criterios de equidad social y de género en la participación, en el marco de la interculturalidad.</w:t>
      </w:r>
    </w:p>
    <w:p w14:paraId="6C133A26"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características de las Entidades Desconcentradas Municipales y el procedimiento de creación están definidas por la Ley de Gobiernos Autónomos Municipales (Ley </w:t>
      </w:r>
      <w:proofErr w:type="spellStart"/>
      <w:r w:rsidRPr="0056181C">
        <w:rPr>
          <w:rFonts w:ascii="Arial" w:hAnsi="Arial" w:cs="Arial"/>
        </w:rPr>
        <w:t>N°</w:t>
      </w:r>
      <w:proofErr w:type="spellEnd"/>
      <w:r w:rsidRPr="0056181C">
        <w:rPr>
          <w:rFonts w:ascii="Arial" w:hAnsi="Arial" w:cs="Arial"/>
        </w:rPr>
        <w:t xml:space="preserve"> 482) A continuación se detalla las siguientes características:</w:t>
      </w:r>
    </w:p>
    <w:p w14:paraId="38AAB40C" w14:textId="77777777" w:rsidR="00786E28" w:rsidRPr="0056181C" w:rsidRDefault="00786E28" w:rsidP="00786E28">
      <w:pPr>
        <w:pStyle w:val="Prrafodelista"/>
        <w:numPr>
          <w:ilvl w:val="0"/>
          <w:numId w:val="2"/>
        </w:numPr>
        <w:spacing w:before="240" w:line="240" w:lineRule="auto"/>
        <w:ind w:left="1068"/>
        <w:jc w:val="both"/>
        <w:rPr>
          <w:rFonts w:ascii="Arial" w:hAnsi="Arial" w:cs="Arial"/>
        </w:rPr>
      </w:pPr>
      <w:r w:rsidRPr="0056181C">
        <w:rPr>
          <w:rFonts w:ascii="Arial" w:hAnsi="Arial" w:cs="Arial"/>
        </w:rPr>
        <w:t xml:space="preserve">Forma de constitución </w:t>
      </w:r>
      <w:proofErr w:type="gramStart"/>
      <w:r w:rsidRPr="0056181C">
        <w:rPr>
          <w:rFonts w:ascii="Arial" w:hAnsi="Arial" w:cs="Arial"/>
        </w:rPr>
        <w:t>de acuerdo a</w:t>
      </w:r>
      <w:proofErr w:type="gramEnd"/>
      <w:r w:rsidRPr="0056181C">
        <w:rPr>
          <w:rFonts w:ascii="Arial" w:hAnsi="Arial" w:cs="Arial"/>
        </w:rPr>
        <w:t xml:space="preserve"> normativa:</w:t>
      </w:r>
    </w:p>
    <w:p w14:paraId="07CA0E1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Propuesta de estructura de la unidad a cargo de la Secretaría. Informe técnico, legal y financiero que justifique su creación. </w:t>
      </w:r>
    </w:p>
    <w:p w14:paraId="6D8B917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lastRenderedPageBreak/>
        <w:t xml:space="preserve">Son creadas por Decreto Municipal aprobado y emitido por la autoridad edil. </w:t>
      </w:r>
    </w:p>
    <w:p w14:paraId="1E58B83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Estudio de viabilidad técnica, social y financiera de la tasa por prestación de servicios de agua y alcantarillado (informes técnico, legal y financiero recomendando la aprobación). </w:t>
      </w:r>
    </w:p>
    <w:p w14:paraId="4CA09137"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Los servicios de agua y alcantarillado son aprobados mediante Ley Municipal. </w:t>
      </w:r>
    </w:p>
    <w:p w14:paraId="46EFC665"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No tienen personalidad jurídica ni patrimonio propio. </w:t>
      </w:r>
    </w:p>
    <w:p w14:paraId="779ADB3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Tienen dependencia directa del </w:t>
      </w:r>
      <w:proofErr w:type="gramStart"/>
      <w:r w:rsidRPr="0056181C">
        <w:rPr>
          <w:rFonts w:ascii="Arial" w:hAnsi="Arial" w:cs="Arial"/>
        </w:rPr>
        <w:t>Alcalde</w:t>
      </w:r>
      <w:proofErr w:type="gramEnd"/>
      <w:r w:rsidRPr="0056181C">
        <w:rPr>
          <w:rFonts w:ascii="Arial" w:hAnsi="Arial" w:cs="Arial"/>
        </w:rPr>
        <w:t xml:space="preserve"> o Alcaldesa.</w:t>
      </w:r>
    </w:p>
    <w:p w14:paraId="0AD9CF77" w14:textId="77777777" w:rsidR="00786E28" w:rsidRPr="0056181C" w:rsidRDefault="00786E28" w:rsidP="00786E28">
      <w:pPr>
        <w:pStyle w:val="Prrafodelista"/>
        <w:numPr>
          <w:ilvl w:val="0"/>
          <w:numId w:val="2"/>
        </w:numPr>
        <w:spacing w:line="240" w:lineRule="auto"/>
        <w:ind w:left="1068"/>
        <w:jc w:val="both"/>
        <w:rPr>
          <w:rFonts w:ascii="Arial" w:hAnsi="Arial" w:cs="Arial"/>
        </w:rPr>
      </w:pPr>
      <w:r w:rsidRPr="0056181C">
        <w:rPr>
          <w:rFonts w:ascii="Arial" w:hAnsi="Arial" w:cs="Arial"/>
        </w:rPr>
        <w:t>Gestión administrativa financiera:</w:t>
      </w:r>
    </w:p>
    <w:p w14:paraId="60F8B81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está designada por el </w:t>
      </w:r>
      <w:proofErr w:type="gramStart"/>
      <w:r w:rsidRPr="0056181C">
        <w:rPr>
          <w:rFonts w:ascii="Arial" w:hAnsi="Arial" w:cs="Arial"/>
        </w:rPr>
        <w:t>Alcalde</w:t>
      </w:r>
      <w:proofErr w:type="gramEnd"/>
      <w:r w:rsidRPr="0056181C">
        <w:rPr>
          <w:rFonts w:ascii="Arial" w:hAnsi="Arial" w:cs="Arial"/>
        </w:rPr>
        <w:t xml:space="preserve"> Municipal, mediante Decreto Edil. </w:t>
      </w:r>
    </w:p>
    <w:p w14:paraId="40BBE6A2"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El </w:t>
      </w:r>
      <w:proofErr w:type="gramStart"/>
      <w:r w:rsidRPr="0056181C">
        <w:rPr>
          <w:rFonts w:ascii="Arial" w:hAnsi="Arial" w:cs="Arial"/>
        </w:rPr>
        <w:t>Alcalde</w:t>
      </w:r>
      <w:proofErr w:type="gramEnd"/>
      <w:r w:rsidRPr="0056181C">
        <w:rPr>
          <w:rFonts w:ascii="Arial" w:hAnsi="Arial" w:cs="Arial"/>
        </w:rPr>
        <w:t xml:space="preserve"> o Alcaldesa delega atribuciones técnico - operativas. </w:t>
      </w:r>
    </w:p>
    <w:p w14:paraId="038BB43D"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La gestión administrativa y legal está a cargo del GAM. </w:t>
      </w:r>
    </w:p>
    <w:p w14:paraId="218E446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Los sistemas de agua y saneamiento son bienes municipales patrimoniales.</w:t>
      </w:r>
    </w:p>
    <w:p w14:paraId="69E2FEC1" w14:textId="77777777" w:rsidR="00786E28" w:rsidRPr="0056181C" w:rsidRDefault="00786E28" w:rsidP="00786E28">
      <w:pPr>
        <w:pStyle w:val="Prrafodelista"/>
        <w:numPr>
          <w:ilvl w:val="0"/>
          <w:numId w:val="2"/>
        </w:numPr>
        <w:spacing w:line="240" w:lineRule="auto"/>
        <w:ind w:left="1068"/>
        <w:jc w:val="both"/>
        <w:rPr>
          <w:rFonts w:ascii="Arial" w:hAnsi="Arial" w:cs="Arial"/>
        </w:rPr>
      </w:pPr>
      <w:r w:rsidRPr="0056181C">
        <w:rPr>
          <w:rFonts w:ascii="Arial" w:hAnsi="Arial" w:cs="Arial"/>
        </w:rPr>
        <w:t>Gestión comercial:</w:t>
      </w:r>
    </w:p>
    <w:p w14:paraId="44541C10"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Cobran una tasa municipal, misma que debe ser aprobada por Ley Municipal. </w:t>
      </w:r>
    </w:p>
    <w:p w14:paraId="69C56581"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Proyecto de Ley Municipal para aprobación de tasa y requisitos para la prestación del servicio.</w:t>
      </w:r>
    </w:p>
    <w:p w14:paraId="54D401F2" w14:textId="77777777" w:rsidR="00786E28" w:rsidRPr="0056181C" w:rsidRDefault="00786E28" w:rsidP="00786E28">
      <w:pPr>
        <w:pStyle w:val="Prrafodelista"/>
        <w:spacing w:line="240" w:lineRule="auto"/>
        <w:ind w:left="1134"/>
        <w:jc w:val="both"/>
        <w:rPr>
          <w:rFonts w:ascii="Arial" w:hAnsi="Arial" w:cs="Arial"/>
        </w:rPr>
      </w:pPr>
    </w:p>
    <w:p w14:paraId="645B72F5" w14:textId="77777777" w:rsidR="00786E28" w:rsidRPr="0056181C" w:rsidRDefault="00786E28" w:rsidP="00786E28">
      <w:pPr>
        <w:pStyle w:val="Prrafodelista"/>
        <w:numPr>
          <w:ilvl w:val="0"/>
          <w:numId w:val="5"/>
        </w:numPr>
        <w:spacing w:after="60" w:line="240" w:lineRule="auto"/>
        <w:jc w:val="both"/>
        <w:rPr>
          <w:rFonts w:ascii="Arial" w:hAnsi="Arial" w:cs="Arial"/>
          <w:b/>
        </w:rPr>
      </w:pPr>
      <w:r w:rsidRPr="0056181C">
        <w:rPr>
          <w:rFonts w:ascii="Arial" w:hAnsi="Arial" w:cs="Arial"/>
          <w:b/>
        </w:rPr>
        <w:t>Entidades descentralizadas municipales</w:t>
      </w:r>
    </w:p>
    <w:p w14:paraId="23561D3D"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entidades descentralizadas municipales son entidades independientes a quienes se les transfiere funciones del GAM. Son creadas por Decreto Municipal; tienen autonomía administrativa, financiera, legal y técnica en el área específica de servicios de agua y saneamiento, y su autoridad está designada por el </w:t>
      </w:r>
      <w:proofErr w:type="gramStart"/>
      <w:r w:rsidRPr="0056181C">
        <w:rPr>
          <w:rFonts w:ascii="Arial" w:hAnsi="Arial" w:cs="Arial"/>
        </w:rPr>
        <w:t>Alcalde</w:t>
      </w:r>
      <w:proofErr w:type="gramEnd"/>
      <w:r w:rsidRPr="0056181C">
        <w:rPr>
          <w:rFonts w:ascii="Arial" w:hAnsi="Arial" w:cs="Arial"/>
        </w:rPr>
        <w:t xml:space="preserve"> o Alcaldesa, mediante Decreto Edil según la Ley </w:t>
      </w:r>
      <w:proofErr w:type="spellStart"/>
      <w:r w:rsidRPr="0056181C">
        <w:rPr>
          <w:rFonts w:ascii="Arial" w:hAnsi="Arial" w:cs="Arial"/>
        </w:rPr>
        <w:t>N°</w:t>
      </w:r>
      <w:proofErr w:type="spellEnd"/>
      <w:r w:rsidRPr="0056181C">
        <w:rPr>
          <w:rFonts w:ascii="Arial" w:hAnsi="Arial" w:cs="Arial"/>
        </w:rPr>
        <w:t xml:space="preserve"> 482.</w:t>
      </w:r>
    </w:p>
    <w:p w14:paraId="39AC66C8" w14:textId="77777777" w:rsidR="00786E28" w:rsidRPr="0056181C" w:rsidRDefault="00786E28" w:rsidP="00786E28">
      <w:pPr>
        <w:spacing w:line="240" w:lineRule="auto"/>
        <w:ind w:firstLine="426"/>
        <w:jc w:val="both"/>
        <w:rPr>
          <w:rFonts w:ascii="Arial" w:hAnsi="Arial" w:cs="Arial"/>
        </w:rPr>
      </w:pPr>
      <w:r w:rsidRPr="0056181C">
        <w:rPr>
          <w:rFonts w:ascii="Arial" w:hAnsi="Arial" w:cs="Arial"/>
        </w:rPr>
        <w:t>A continuación, se describe sus características:</w:t>
      </w:r>
    </w:p>
    <w:p w14:paraId="25EFD449"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Forma de constitución:</w:t>
      </w:r>
    </w:p>
    <w:p w14:paraId="7CAFAEE3"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personalidad jurídica.</w:t>
      </w:r>
    </w:p>
    <w:p w14:paraId="7AD5276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Son creadas mediante Decreto Municipal aprobada por el Concejo Municipal.</w:t>
      </w:r>
    </w:p>
    <w:p w14:paraId="5E55C52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Están bajo tuición del GAM.</w:t>
      </w:r>
    </w:p>
    <w:p w14:paraId="1B7A4E0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Proyecto de Decreto Municipal para creación de la entidad, elaborado por la Secretaría respectiva. Conformación del directorio compuesto por un tercio de las representantes de los usuarios, un tercio de los representantes del municipio y un tercio de las entidades profesionales vinculadas al sector (Esta conformación debe responder a las características del GAM y los usuarios). </w:t>
      </w:r>
    </w:p>
    <w:p w14:paraId="3E11287B"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Estatuto orgánico.</w:t>
      </w:r>
    </w:p>
    <w:p w14:paraId="334AD5C5"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administrativa financiera:</w:t>
      </w:r>
    </w:p>
    <w:p w14:paraId="58F7AD4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Cuentan con patrimonio propio.</w:t>
      </w:r>
    </w:p>
    <w:p w14:paraId="30C0286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 designada mediante Decreto </w:t>
      </w:r>
      <w:proofErr w:type="gramStart"/>
      <w:r w:rsidRPr="0056181C">
        <w:rPr>
          <w:rFonts w:ascii="Arial" w:hAnsi="Arial" w:cs="Arial"/>
        </w:rPr>
        <w:t>Edil</w:t>
      </w:r>
      <w:proofErr w:type="gramEnd"/>
      <w:r w:rsidRPr="0056181C">
        <w:rPr>
          <w:rFonts w:ascii="Arial" w:hAnsi="Arial" w:cs="Arial"/>
        </w:rPr>
        <w:t>.</w:t>
      </w:r>
    </w:p>
    <w:p w14:paraId="56DBEC6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Cuentan con un directorio en donde el </w:t>
      </w:r>
      <w:proofErr w:type="gramStart"/>
      <w:r w:rsidRPr="0056181C">
        <w:rPr>
          <w:rFonts w:ascii="Arial" w:hAnsi="Arial" w:cs="Arial"/>
        </w:rPr>
        <w:t>Alcalde</w:t>
      </w:r>
      <w:proofErr w:type="gramEnd"/>
      <w:r w:rsidRPr="0056181C">
        <w:rPr>
          <w:rFonts w:ascii="Arial" w:hAnsi="Arial" w:cs="Arial"/>
        </w:rPr>
        <w:t xml:space="preserve"> o Alcaldesa ejerce la Presidencia.</w:t>
      </w:r>
    </w:p>
    <w:p w14:paraId="4E0959ED"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comercial:</w:t>
      </w:r>
    </w:p>
    <w:p w14:paraId="57CBB482"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Cobran y administran una tarifa para fines de operación y mantenimiento.</w:t>
      </w:r>
    </w:p>
    <w:p w14:paraId="3CD8D025"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Estudio tarifario</w:t>
      </w:r>
    </w:p>
    <w:p w14:paraId="64B5EB03"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institucional:</w:t>
      </w:r>
    </w:p>
    <w:p w14:paraId="3205CE8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capacidad de decisión administrativa, financiera, legal y técnica.</w:t>
      </w:r>
    </w:p>
    <w:p w14:paraId="23D19F63" w14:textId="77777777" w:rsidR="00786E28" w:rsidRPr="00F91A7F" w:rsidRDefault="00786E28" w:rsidP="00786E28">
      <w:pPr>
        <w:pStyle w:val="Prrafodelista"/>
        <w:spacing w:after="60" w:line="240" w:lineRule="auto"/>
        <w:ind w:left="1080"/>
        <w:jc w:val="both"/>
        <w:rPr>
          <w:rFonts w:ascii="Arial" w:hAnsi="Arial" w:cs="Arial"/>
          <w:b/>
        </w:rPr>
      </w:pPr>
    </w:p>
    <w:p w14:paraId="3BDC5A3A" w14:textId="77777777" w:rsidR="00786E28" w:rsidRPr="0056181C" w:rsidRDefault="00786E28" w:rsidP="00786E28">
      <w:pPr>
        <w:pStyle w:val="Prrafodelista"/>
        <w:numPr>
          <w:ilvl w:val="0"/>
          <w:numId w:val="5"/>
        </w:numPr>
        <w:spacing w:after="60" w:line="240" w:lineRule="auto"/>
        <w:jc w:val="both"/>
        <w:rPr>
          <w:rFonts w:ascii="Arial" w:hAnsi="Arial" w:cs="Arial"/>
          <w:b/>
        </w:rPr>
      </w:pPr>
      <w:r w:rsidRPr="0056181C">
        <w:rPr>
          <w:rFonts w:ascii="Arial" w:hAnsi="Arial" w:cs="Arial"/>
          <w:b/>
        </w:rPr>
        <w:t>Empresa Pública Municipal</w:t>
      </w:r>
    </w:p>
    <w:p w14:paraId="0F7E44EE"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lastRenderedPageBreak/>
        <w:t xml:space="preserve">De acuerdo a la Ley </w:t>
      </w:r>
      <w:proofErr w:type="spellStart"/>
      <w:r w:rsidRPr="0056181C">
        <w:rPr>
          <w:rFonts w:ascii="Arial" w:hAnsi="Arial" w:cs="Arial"/>
        </w:rPr>
        <w:t>N°</w:t>
      </w:r>
      <w:proofErr w:type="spellEnd"/>
      <w:r w:rsidRPr="0056181C">
        <w:rPr>
          <w:rFonts w:ascii="Arial" w:hAnsi="Arial" w:cs="Arial"/>
        </w:rPr>
        <w:t xml:space="preserve"> 482, las empresas públicas municipales son entidades con autonomía de gestión administrativa, financiera, legal y técnica, y deben ser creadas mediante Ley Municipal, así como su Máxima Autoridad Ejecutiva es designada por Decreto </w:t>
      </w:r>
      <w:proofErr w:type="gramStart"/>
      <w:r w:rsidRPr="0056181C">
        <w:rPr>
          <w:rFonts w:ascii="Arial" w:hAnsi="Arial" w:cs="Arial"/>
        </w:rPr>
        <w:t>Edil</w:t>
      </w:r>
      <w:proofErr w:type="gramEnd"/>
      <w:r w:rsidRPr="0056181C">
        <w:rPr>
          <w:rFonts w:ascii="Arial" w:hAnsi="Arial" w:cs="Arial"/>
        </w:rPr>
        <w:t xml:space="preserve">. </w:t>
      </w:r>
    </w:p>
    <w:p w14:paraId="7A271A7A"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Empresas e Instituciones Municipales serán clasificadas institucionalmente de forma separada por el propio Gobierno Autónomo Municipal, en el marco de las directrices que emita el Ministerio de Economía y Finanzas Públicas (Ley </w:t>
      </w:r>
      <w:proofErr w:type="spellStart"/>
      <w:r w:rsidRPr="0056181C">
        <w:rPr>
          <w:rFonts w:ascii="Arial" w:hAnsi="Arial" w:cs="Arial"/>
        </w:rPr>
        <w:t>N°</w:t>
      </w:r>
      <w:proofErr w:type="spellEnd"/>
      <w:r w:rsidRPr="0056181C">
        <w:rPr>
          <w:rFonts w:ascii="Arial" w:hAnsi="Arial" w:cs="Arial"/>
        </w:rPr>
        <w:t xml:space="preserve"> 842)</w:t>
      </w:r>
    </w:p>
    <w:p w14:paraId="492FA71E" w14:textId="77777777" w:rsidR="00786E28" w:rsidRPr="00F91A7F" w:rsidRDefault="00786E28" w:rsidP="00786E28">
      <w:pPr>
        <w:spacing w:before="240" w:line="240" w:lineRule="auto"/>
        <w:ind w:left="426"/>
        <w:jc w:val="both"/>
        <w:rPr>
          <w:rFonts w:ascii="Arial" w:hAnsi="Arial" w:cs="Arial"/>
        </w:rPr>
      </w:pPr>
      <w:r w:rsidRPr="0056181C">
        <w:rPr>
          <w:rFonts w:ascii="Arial" w:hAnsi="Arial" w:cs="Arial"/>
        </w:rPr>
        <w:t xml:space="preserve">El inciso d) de la segunda parte del artículo 24 de la Ley No. 482 señala que en la estructura organizativa del Órgano Ejecutivo se encuentran las Empresas Municipales, no hace mención </w:t>
      </w:r>
      <w:proofErr w:type="gramStart"/>
      <w:r w:rsidRPr="0056181C">
        <w:rPr>
          <w:rFonts w:ascii="Arial" w:hAnsi="Arial" w:cs="Arial"/>
        </w:rPr>
        <w:t>a</w:t>
      </w:r>
      <w:proofErr w:type="gramEnd"/>
      <w:r w:rsidRPr="0056181C">
        <w:rPr>
          <w:rFonts w:ascii="Arial" w:hAnsi="Arial" w:cs="Arial"/>
        </w:rPr>
        <w:t xml:space="preserve"> tales como públicas, más si así lo hace en el punto 17 del artículo 16 de la citada Ley señala que son atribuciones del Con</w:t>
      </w:r>
      <w:r>
        <w:rPr>
          <w:rFonts w:ascii="Arial" w:hAnsi="Arial" w:cs="Arial"/>
        </w:rPr>
        <w:t>c</w:t>
      </w:r>
      <w:r w:rsidRPr="0056181C">
        <w:rPr>
          <w:rFonts w:ascii="Arial" w:hAnsi="Arial" w:cs="Arial"/>
        </w:rPr>
        <w:t>ejo Municipal autorizar la creación de Empresas Públicas Municipales en su jurisdicción, haciendo referencia en este artículo a las empresas municipales como públicas.</w:t>
      </w:r>
    </w:p>
    <w:p w14:paraId="442AF9D9"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Esta entidad se utiliza principalmente para el área productiva, en el entendido de que debe generar créditos económicos, pero también puede utilizarse para la prestación de servicios públicos sin fines de lucro.  A continuación, se describe la forma de constitución:</w:t>
      </w:r>
    </w:p>
    <w:p w14:paraId="3FBFCC67"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Forma de constitución:</w:t>
      </w:r>
    </w:p>
    <w:p w14:paraId="3C116BB4"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personalidad jurídica</w:t>
      </w:r>
    </w:p>
    <w:p w14:paraId="035D9B8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Creadas mediante Ley Municipal aprobada por el Concejo Municipal.</w:t>
      </w:r>
    </w:p>
    <w:p w14:paraId="39245A4B"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Proyecto de Decreto </w:t>
      </w:r>
      <w:proofErr w:type="gramStart"/>
      <w:r w:rsidRPr="0056181C">
        <w:rPr>
          <w:rFonts w:ascii="Arial" w:hAnsi="Arial" w:cs="Arial"/>
        </w:rPr>
        <w:t>Edil</w:t>
      </w:r>
      <w:proofErr w:type="gramEnd"/>
      <w:r w:rsidRPr="0056181C">
        <w:rPr>
          <w:rFonts w:ascii="Arial" w:hAnsi="Arial" w:cs="Arial"/>
        </w:rPr>
        <w:t xml:space="preserve">. </w:t>
      </w:r>
    </w:p>
    <w:p w14:paraId="42A8B754"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Están bajo tuición del GAM. </w:t>
      </w:r>
    </w:p>
    <w:p w14:paraId="5D8DE150"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administrativa financiera:</w:t>
      </w:r>
    </w:p>
    <w:p w14:paraId="2709A510"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Patrimonio propio.</w:t>
      </w:r>
    </w:p>
    <w:p w14:paraId="380E18FA"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Tienen capacidad de decisión administrativa, financiera, legal y técnica. </w:t>
      </w:r>
    </w:p>
    <w:p w14:paraId="0FE0F136"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 designada mediante Decreto </w:t>
      </w:r>
      <w:proofErr w:type="gramStart"/>
      <w:r w:rsidRPr="0056181C">
        <w:rPr>
          <w:rFonts w:ascii="Arial" w:hAnsi="Arial" w:cs="Arial"/>
        </w:rPr>
        <w:t>Edil</w:t>
      </w:r>
      <w:proofErr w:type="gramEnd"/>
    </w:p>
    <w:p w14:paraId="4392558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Cuentan con un directorio en donde el </w:t>
      </w:r>
      <w:proofErr w:type="gramStart"/>
      <w:r w:rsidRPr="0056181C">
        <w:rPr>
          <w:rFonts w:ascii="Arial" w:hAnsi="Arial" w:cs="Arial"/>
        </w:rPr>
        <w:t>Alcalde</w:t>
      </w:r>
      <w:proofErr w:type="gramEnd"/>
      <w:r w:rsidRPr="0056181C">
        <w:rPr>
          <w:rFonts w:ascii="Arial" w:hAnsi="Arial" w:cs="Arial"/>
        </w:rPr>
        <w:t xml:space="preserve"> o Alcaldesa ejerce la Presidencia. </w:t>
      </w:r>
    </w:p>
    <w:p w14:paraId="5FE8A6C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Informe financiero de viabilidad (debe ser sostenible con la generación de sus recursos). </w:t>
      </w:r>
    </w:p>
    <w:p w14:paraId="7B535F6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Asignación de patrimonio</w:t>
      </w:r>
    </w:p>
    <w:p w14:paraId="48810D2D"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comercial:</w:t>
      </w:r>
    </w:p>
    <w:p w14:paraId="19E347E6"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Cobran y administran una tarifa para fines de operación y mantenimiento. </w:t>
      </w:r>
    </w:p>
    <w:p w14:paraId="3F4A0025"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institucional:</w:t>
      </w:r>
    </w:p>
    <w:p w14:paraId="14F4711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La Empresa Pública Municipal puede incorporar la participación de otros modelos de gestión de otras entidades públicas (mancomunidad de municipios), etc.</w:t>
      </w:r>
    </w:p>
    <w:p w14:paraId="00A47866" w14:textId="77777777" w:rsidR="00786E28" w:rsidRDefault="00786E28" w:rsidP="00786E28">
      <w:pPr>
        <w:pStyle w:val="Prrafodelista"/>
        <w:spacing w:after="0" w:line="240" w:lineRule="auto"/>
        <w:ind w:left="1134"/>
        <w:jc w:val="both"/>
        <w:outlineLvl w:val="2"/>
        <w:rPr>
          <w:b/>
          <w:lang w:val="es-ES"/>
        </w:rPr>
      </w:pPr>
      <w:bookmarkStart w:id="5" w:name="_Toc4974636"/>
    </w:p>
    <w:p w14:paraId="40AB9521" w14:textId="77777777" w:rsidR="00786E28" w:rsidRPr="00965C8E" w:rsidRDefault="00786E28" w:rsidP="00786E28">
      <w:pPr>
        <w:spacing w:after="0" w:line="240" w:lineRule="auto"/>
        <w:jc w:val="both"/>
        <w:outlineLvl w:val="2"/>
        <w:rPr>
          <w:rFonts w:ascii="Arial" w:hAnsi="Arial" w:cs="Arial"/>
          <w:b/>
          <w:u w:val="single"/>
          <w:lang w:val="es-ES"/>
        </w:rPr>
      </w:pPr>
      <w:r w:rsidRPr="00965C8E">
        <w:rPr>
          <w:rFonts w:ascii="Arial" w:hAnsi="Arial" w:cs="Arial"/>
          <w:b/>
          <w:u w:val="single"/>
          <w:lang w:val="es-ES"/>
        </w:rPr>
        <w:t>Cooperativa de Servicios Públicos</w:t>
      </w:r>
      <w:bookmarkEnd w:id="5"/>
    </w:p>
    <w:p w14:paraId="1184F60C" w14:textId="77777777" w:rsidR="00786E28" w:rsidRPr="00965C8E" w:rsidRDefault="00786E28" w:rsidP="00786E28">
      <w:pPr>
        <w:spacing w:after="0" w:line="240" w:lineRule="auto"/>
        <w:jc w:val="both"/>
        <w:rPr>
          <w:rFonts w:ascii="Arial" w:hAnsi="Arial" w:cs="Arial"/>
          <w:sz w:val="24"/>
          <w:szCs w:val="24"/>
        </w:rPr>
      </w:pPr>
    </w:p>
    <w:p w14:paraId="34DFEE3F" w14:textId="77777777" w:rsidR="00786E28" w:rsidRPr="00796285" w:rsidRDefault="00786E28" w:rsidP="00786E28">
      <w:pPr>
        <w:spacing w:line="240" w:lineRule="auto"/>
        <w:jc w:val="both"/>
        <w:rPr>
          <w:rFonts w:ascii="Arial" w:hAnsi="Arial" w:cs="Arial"/>
        </w:rPr>
      </w:pPr>
      <w:r w:rsidRPr="00796285">
        <w:rPr>
          <w:rFonts w:ascii="Arial" w:hAnsi="Arial" w:cs="Arial"/>
        </w:rPr>
        <w:t>El artículo 4 de la Ley No. 356 señala que la Cooperativa es una asociación sin fines de lucro, de personas naturales y/o jurídicas que se asocian voluntariamente, constituyendo cooperativas, fundadas en el trabajo solidario y de cooperación, para satisfacer sus necesidades productivas y de servicios, con estructura y funcionamiento autónomo y democrático.</w:t>
      </w:r>
    </w:p>
    <w:p w14:paraId="0DC3B018"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Artículo 55 de la CPE indica que: “El sistema cooperativo se sustenta en los principios de solidaridad, igualdad, reciprocidad, equidad en la distribución, finalidad social, solidaridad, igualdad, reciprocidad, equidad en la distribución, finalidad social, y no lucro de sus asociados”, </w:t>
      </w:r>
      <w:r w:rsidRPr="00796285">
        <w:rPr>
          <w:rFonts w:ascii="Arial" w:hAnsi="Arial" w:cs="Arial"/>
        </w:rPr>
        <w:lastRenderedPageBreak/>
        <w:t>por lo que se espera que la base de las entidades prestadoras de servicios de agua y saneamiento también los tomen en cuenta.</w:t>
      </w:r>
    </w:p>
    <w:p w14:paraId="27474DF4" w14:textId="77777777" w:rsidR="00786E28" w:rsidRPr="00796285" w:rsidRDefault="00786E28" w:rsidP="00786E28">
      <w:pPr>
        <w:spacing w:line="240" w:lineRule="auto"/>
        <w:jc w:val="both"/>
        <w:rPr>
          <w:rFonts w:ascii="Arial" w:hAnsi="Arial" w:cs="Arial"/>
        </w:rPr>
      </w:pPr>
      <w:r w:rsidRPr="00796285">
        <w:rPr>
          <w:rFonts w:ascii="Arial" w:hAnsi="Arial" w:cs="Arial"/>
        </w:rPr>
        <w:t>Una Cooperativa de Servicios de Agua y Alcantarillado es una asociación sin ánimo de lucro, la cual está compuesta por asociados y asociadas de forma voluntaria, creada con el objeto de gestionar, de forma equitativa y eficiente, servicios de agua y alcantarillado, para satisfacer las necesidades de sus asociados y de la comunidad en general.</w:t>
      </w:r>
    </w:p>
    <w:p w14:paraId="75865D2F" w14:textId="77777777" w:rsidR="00786E28" w:rsidRPr="00796285" w:rsidRDefault="00786E28" w:rsidP="00786E28">
      <w:pPr>
        <w:spacing w:line="240" w:lineRule="auto"/>
        <w:jc w:val="both"/>
        <w:rPr>
          <w:rFonts w:ascii="Arial" w:hAnsi="Arial" w:cs="Arial"/>
        </w:rPr>
      </w:pPr>
      <w:r w:rsidRPr="00796285">
        <w:rPr>
          <w:rFonts w:ascii="Arial" w:hAnsi="Arial" w:cs="Arial"/>
        </w:rPr>
        <w:t>Las características sobresalientes de una Cooperativa son:</w:t>
      </w:r>
    </w:p>
    <w:p w14:paraId="3EB1C238"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Es una asociación sin fines de lucro.</w:t>
      </w:r>
    </w:p>
    <w:p w14:paraId="4474B8C8"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De propiedad colectiva.</w:t>
      </w:r>
    </w:p>
    <w:p w14:paraId="4CE1B3B6"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Con estructura autónoma y democrática.</w:t>
      </w:r>
    </w:p>
    <w:p w14:paraId="09B82BE8" w14:textId="77777777" w:rsidR="00786E28" w:rsidRPr="00796285" w:rsidRDefault="00786E28" w:rsidP="00786E28">
      <w:pPr>
        <w:pStyle w:val="Prrafodelista"/>
        <w:tabs>
          <w:tab w:val="left" w:pos="2268"/>
        </w:tabs>
        <w:spacing w:line="240" w:lineRule="auto"/>
        <w:ind w:left="1276"/>
        <w:jc w:val="both"/>
        <w:rPr>
          <w:rFonts w:ascii="Arial" w:hAnsi="Arial" w:cs="Arial"/>
        </w:rPr>
      </w:pPr>
    </w:p>
    <w:p w14:paraId="79790E23"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Forma de constitución:</w:t>
      </w:r>
    </w:p>
    <w:p w14:paraId="3420510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Personería jurídica reconocida por la Autoridad de Control y Fiscalización de Cooperativas (AFCOOP).</w:t>
      </w:r>
    </w:p>
    <w:p w14:paraId="56D113D7"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Adoptan el régimen de Responsabilidad Limitada (R.L.) sigla que deberá ser incorporada en su denominación. </w:t>
      </w:r>
    </w:p>
    <w:p w14:paraId="2DF315F1"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Número de asociadas y asociados no deberá será menor a diez (10).</w:t>
      </w:r>
    </w:p>
    <w:p w14:paraId="619D9B89"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El estatuto orgánico es la norma interna de la Cooperativa que rige su constitución, organización, funcionamiento, regímenes de participación, económicos, sociales y de disolución, norma que deberá basarse en el Reglamento de la Ley General de Cooperativas aprobado por el D.S. 1995 de 13 de mayo de 2014 y ser homologado por la AFCOOP. </w:t>
      </w:r>
    </w:p>
    <w:p w14:paraId="7664C091"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El Comité Organizador convocará a una asamblea general constitutiva de la Cooperativa, en la cual se aprobarán los estatutos y los estudios socioeconómicos.</w:t>
      </w:r>
    </w:p>
    <w:p w14:paraId="123C66CD"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En la asamblea constitutiva se elegirá a los representantes del consejo de administración y consejo de vigilancia.</w:t>
      </w:r>
    </w:p>
    <w:p w14:paraId="32407E25"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Los elegidos como consejo de administración y vigilancia firmarán el acta constitutiva de la Cooperativa en presencia de los representantes de la Federación de Cooperativas del Sector o representantes del Ministerio del área o por un Notario de Fe Pública o cualquier otra autoridad del lugar.</w:t>
      </w:r>
    </w:p>
    <w:p w14:paraId="6F3429B4"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Gestión administrativa financiera:</w:t>
      </w:r>
    </w:p>
    <w:p w14:paraId="3F30DD8B"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Con estructura autónoma y democrática.</w:t>
      </w:r>
    </w:p>
    <w:p w14:paraId="50B000C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Patrimonio propio constituido principalmente por el aporte de los asociados y asociadas.</w:t>
      </w:r>
    </w:p>
    <w:p w14:paraId="0B1A9F9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Sin fines de lucro.</w:t>
      </w:r>
    </w:p>
    <w:p w14:paraId="176A5BA0"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asociados y asociadas tienen los mismos derechos y obligaciones, no existen privilegios. Los asociados y asociadas tienen esa categoría a partir de la adquisición de su certificado de aportación (económico, bienes materiales y trabajo). </w:t>
      </w:r>
    </w:p>
    <w:p w14:paraId="6649B9D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Están obligadas a constituir los siguientes fondos no repartibles: reserva legal (10%), fondo de educación (5%) y fondo de previsión social y apoyo a la colectividad (5%) del resultado de los estados financieros anuales. </w:t>
      </w:r>
    </w:p>
    <w:p w14:paraId="356AD667"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Gestión institucional:</w:t>
      </w:r>
    </w:p>
    <w:p w14:paraId="5EB005D5"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asociados y asociadas tienen un certificado de aportación. Las aportaciones podrán ser en dinero, bienes, derechos o trabajo. </w:t>
      </w:r>
    </w:p>
    <w:p w14:paraId="21DCA31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lastRenderedPageBreak/>
        <w:t xml:space="preserve">El periodo de funciones de los miembros del consejo de administración y vigilancia es de máximo 3 años, pero pueden ser reelectos por una sola gestión consecutiva (máximo 6 años). </w:t>
      </w:r>
    </w:p>
    <w:p w14:paraId="286A1DC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Fondo social, compuesto por recursos propios y otros (aportación de los asociados y asociadas y otros).</w:t>
      </w:r>
    </w:p>
    <w:p w14:paraId="0A04FC0A"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Los asociados y asociadas tienen un certificado de aportación. Las aportaciones podrán ser en dinero, bienes, derechos o trabajo.</w:t>
      </w:r>
    </w:p>
    <w:p w14:paraId="7C45CD91" w14:textId="77777777" w:rsidR="00786E28" w:rsidRPr="00796285" w:rsidRDefault="00786E28" w:rsidP="00786E28">
      <w:pPr>
        <w:pStyle w:val="Prrafodelista"/>
        <w:spacing w:after="0" w:line="240" w:lineRule="auto"/>
        <w:ind w:left="1134"/>
        <w:jc w:val="both"/>
        <w:outlineLvl w:val="2"/>
        <w:rPr>
          <w:rFonts w:ascii="Arial" w:hAnsi="Arial" w:cs="Arial"/>
          <w:b/>
          <w:lang w:val="es-ES"/>
        </w:rPr>
      </w:pPr>
      <w:bookmarkStart w:id="6" w:name="_Toc4974637"/>
    </w:p>
    <w:p w14:paraId="1CEC2DE3" w14:textId="77777777" w:rsidR="00786E28" w:rsidRPr="00124B77" w:rsidRDefault="00786E28" w:rsidP="00786E28">
      <w:pPr>
        <w:spacing w:after="0" w:line="240" w:lineRule="auto"/>
        <w:jc w:val="both"/>
        <w:outlineLvl w:val="2"/>
        <w:rPr>
          <w:rFonts w:ascii="Arial" w:hAnsi="Arial" w:cs="Arial"/>
          <w:b/>
          <w:u w:val="single"/>
          <w:lang w:val="es-ES"/>
        </w:rPr>
      </w:pPr>
      <w:r w:rsidRPr="00124B77">
        <w:rPr>
          <w:rFonts w:ascii="Arial" w:hAnsi="Arial" w:cs="Arial"/>
          <w:b/>
          <w:u w:val="single"/>
          <w:lang w:val="es-ES"/>
        </w:rPr>
        <w:t>Comités de Agua Potable y Saneamiento</w:t>
      </w:r>
      <w:bookmarkEnd w:id="6"/>
    </w:p>
    <w:p w14:paraId="2BA91AD5" w14:textId="77777777" w:rsidR="00786E28" w:rsidRPr="00796285" w:rsidRDefault="00786E28" w:rsidP="00786E28">
      <w:pPr>
        <w:spacing w:after="0" w:line="240" w:lineRule="auto"/>
        <w:jc w:val="both"/>
        <w:rPr>
          <w:rFonts w:ascii="Arial" w:hAnsi="Arial" w:cs="Arial"/>
        </w:rPr>
      </w:pPr>
    </w:p>
    <w:p w14:paraId="11772E28" w14:textId="77777777" w:rsidR="00786E28" w:rsidRPr="00796285" w:rsidRDefault="00786E28" w:rsidP="00786E28">
      <w:pPr>
        <w:spacing w:line="240" w:lineRule="auto"/>
        <w:jc w:val="both"/>
        <w:rPr>
          <w:rFonts w:ascii="Arial" w:hAnsi="Arial" w:cs="Arial"/>
        </w:rPr>
      </w:pPr>
      <w:r w:rsidRPr="00796285">
        <w:rPr>
          <w:rFonts w:ascii="Arial" w:hAnsi="Arial" w:cs="Arial"/>
        </w:rPr>
        <w:t>Un Comité de Agua Potable y Saneamiento (</w:t>
      </w:r>
      <w:proofErr w:type="spellStart"/>
      <w:r w:rsidRPr="00796285">
        <w:rPr>
          <w:rFonts w:ascii="Arial" w:hAnsi="Arial" w:cs="Arial"/>
        </w:rPr>
        <w:t>CAPyS</w:t>
      </w:r>
      <w:proofErr w:type="spellEnd"/>
      <w:r w:rsidRPr="00796285">
        <w:rPr>
          <w:rFonts w:ascii="Arial" w:hAnsi="Arial" w:cs="Arial"/>
        </w:rPr>
        <w:t xml:space="preserve">) es una entidad conformada por los usuarios del servicio de la comunidad. Está basado en la autogestión para una sola localidad y está reconocida por el Art. 73 del Código Civil, la Ley </w:t>
      </w:r>
      <w:proofErr w:type="spellStart"/>
      <w:r w:rsidRPr="00796285">
        <w:rPr>
          <w:rFonts w:ascii="Arial" w:hAnsi="Arial" w:cs="Arial"/>
        </w:rPr>
        <w:t>N°</w:t>
      </w:r>
      <w:proofErr w:type="spellEnd"/>
      <w:r w:rsidRPr="00796285">
        <w:rPr>
          <w:rFonts w:ascii="Arial" w:hAnsi="Arial" w:cs="Arial"/>
        </w:rPr>
        <w:t xml:space="preserve"> 2066 y la CPE. </w:t>
      </w:r>
    </w:p>
    <w:p w14:paraId="243260AB"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Comité se organiza diferenciando dos unidades que corresponden a las funciones básicas de una entidad prestadora de servicios de agua y saneamiento: Gestión técnica (operación y mantenimiento de los servicios). Gestión administrativa y comercial (manejo administrativo y contable del Comité y cobranzas por los servicios). </w:t>
      </w:r>
    </w:p>
    <w:p w14:paraId="3BB33313" w14:textId="77777777" w:rsidR="00786E28" w:rsidRPr="00796285" w:rsidRDefault="00786E28" w:rsidP="00786E28">
      <w:pPr>
        <w:spacing w:line="240" w:lineRule="auto"/>
        <w:jc w:val="both"/>
        <w:rPr>
          <w:rFonts w:ascii="Arial" w:hAnsi="Arial" w:cs="Arial"/>
        </w:rPr>
      </w:pPr>
      <w:r w:rsidRPr="00796285">
        <w:rPr>
          <w:rFonts w:ascii="Arial" w:hAnsi="Arial" w:cs="Arial"/>
        </w:rPr>
        <w:t>Principales características:</w:t>
      </w:r>
    </w:p>
    <w:p w14:paraId="64BB2728"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Forma de constitución:</w:t>
      </w:r>
    </w:p>
    <w:p w14:paraId="7ADA1FC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La máxima instancia de decisión es la Asamblea de Usuarios.  </w:t>
      </w:r>
    </w:p>
    <w:p w14:paraId="1D01942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Procedimiento de creación Elección del modelo de gestión en Asamblea.</w:t>
      </w:r>
    </w:p>
    <w:p w14:paraId="609E1A19" w14:textId="77777777" w:rsidR="00786E28" w:rsidRPr="00124B77"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Cuentan con un estatuto y reglamento interno aprobado por la Asamblea.</w:t>
      </w:r>
    </w:p>
    <w:p w14:paraId="2C5C212D"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institucional:</w:t>
      </w:r>
    </w:p>
    <w:p w14:paraId="65718AF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miembros del Comité de Agua Potable y Saneamiento </w:t>
      </w:r>
      <w:proofErr w:type="spellStart"/>
      <w:r w:rsidRPr="00796285">
        <w:rPr>
          <w:rFonts w:ascii="Arial" w:hAnsi="Arial" w:cs="Arial"/>
        </w:rPr>
        <w:t>CAPyS</w:t>
      </w:r>
      <w:proofErr w:type="spellEnd"/>
      <w:r w:rsidRPr="00796285">
        <w:rPr>
          <w:rFonts w:ascii="Arial" w:hAnsi="Arial" w:cs="Arial"/>
        </w:rPr>
        <w:t xml:space="preserve"> son elegidos por la Asamblea, mediante voto directo y controlado por un comité electoral.  </w:t>
      </w:r>
    </w:p>
    <w:p w14:paraId="4FEE35B2"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Existe transferencia de los predios del sistema por parte del GAM.  </w:t>
      </w:r>
    </w:p>
    <w:p w14:paraId="008EDE6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El Comité de Agua Potable y Saneamiento rinde cuentas a la Asamblea.</w:t>
      </w:r>
    </w:p>
    <w:p w14:paraId="03F809F7"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administrativa:</w:t>
      </w:r>
    </w:p>
    <w:p w14:paraId="5DA300B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Tienen patrimonio propio.</w:t>
      </w:r>
    </w:p>
    <w:p w14:paraId="515ED2AA"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Se logra independencia administrativa de los municipios y de la OTB, con las cuales debe existir estrecha coordinación.</w:t>
      </w:r>
    </w:p>
    <w:p w14:paraId="3DC4931B"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comercial:</w:t>
      </w:r>
    </w:p>
    <w:p w14:paraId="394C5A5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Tarifas</w:t>
      </w:r>
    </w:p>
    <w:p w14:paraId="4133564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Estructura de precios</w:t>
      </w:r>
    </w:p>
    <w:p w14:paraId="6982FB33" w14:textId="77777777" w:rsidR="00786E28" w:rsidRPr="00796285" w:rsidRDefault="00786E28" w:rsidP="00786E28">
      <w:pPr>
        <w:pStyle w:val="Prrafodelista"/>
        <w:spacing w:after="0" w:line="240" w:lineRule="auto"/>
        <w:ind w:left="1134"/>
        <w:jc w:val="both"/>
        <w:outlineLvl w:val="2"/>
        <w:rPr>
          <w:rFonts w:ascii="Arial" w:hAnsi="Arial" w:cs="Arial"/>
          <w:b/>
          <w:lang w:val="es-ES"/>
        </w:rPr>
      </w:pPr>
      <w:bookmarkStart w:id="7" w:name="_Toc4974638"/>
    </w:p>
    <w:p w14:paraId="60EBBFF2" w14:textId="77777777" w:rsidR="00786E28" w:rsidRPr="00377C05" w:rsidRDefault="00786E28" w:rsidP="00786E28">
      <w:pPr>
        <w:spacing w:after="0" w:line="240" w:lineRule="auto"/>
        <w:jc w:val="both"/>
        <w:outlineLvl w:val="2"/>
        <w:rPr>
          <w:rFonts w:ascii="Arial" w:hAnsi="Arial" w:cs="Arial"/>
          <w:b/>
          <w:u w:val="single"/>
          <w:lang w:val="es-ES"/>
        </w:rPr>
      </w:pPr>
      <w:r w:rsidRPr="00377C05">
        <w:rPr>
          <w:rFonts w:ascii="Arial" w:hAnsi="Arial" w:cs="Arial"/>
          <w:b/>
          <w:u w:val="single"/>
          <w:lang w:val="es-ES"/>
        </w:rPr>
        <w:t>Mixtas</w:t>
      </w:r>
      <w:bookmarkEnd w:id="7"/>
    </w:p>
    <w:p w14:paraId="4F2FA0BF" w14:textId="77777777" w:rsidR="00786E28" w:rsidRPr="00796285" w:rsidRDefault="00786E28" w:rsidP="00786E28">
      <w:pPr>
        <w:spacing w:after="0" w:line="240" w:lineRule="auto"/>
        <w:jc w:val="both"/>
        <w:rPr>
          <w:rFonts w:ascii="Arial" w:hAnsi="Arial" w:cs="Arial"/>
          <w:b/>
          <w:lang w:val="es-ES"/>
        </w:rPr>
      </w:pPr>
    </w:p>
    <w:p w14:paraId="7136A68F" w14:textId="77777777" w:rsidR="00786E28" w:rsidRPr="00796285" w:rsidRDefault="00786E28" w:rsidP="00786E28">
      <w:pPr>
        <w:spacing w:line="240" w:lineRule="auto"/>
        <w:jc w:val="both"/>
        <w:rPr>
          <w:rFonts w:ascii="Arial" w:hAnsi="Arial" w:cs="Arial"/>
        </w:rPr>
      </w:pPr>
      <w:r w:rsidRPr="00796285">
        <w:rPr>
          <w:rFonts w:ascii="Arial" w:hAnsi="Arial" w:cs="Arial"/>
        </w:rPr>
        <w:t>El Artículo 351 de la CPE en el párrafo I.  establece: “El Estado, asumirá el control y la dirección sobre la exploración, explotación, industrialización, transporte y comercialización de los recursos naturales estratégicos a través de entidades públicas, cooperativas o comunitarias, las que podrán a su vez contratar a empresas privadas y constituir empresas mixtas”.</w:t>
      </w:r>
    </w:p>
    <w:p w14:paraId="58A0C0B9"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artículo 20 de la Constitución Política del Estado y el punto </w:t>
      </w:r>
      <w:proofErr w:type="spellStart"/>
      <w:r w:rsidRPr="00796285">
        <w:rPr>
          <w:rFonts w:ascii="Arial" w:hAnsi="Arial" w:cs="Arial"/>
        </w:rPr>
        <w:t>ii</w:t>
      </w:r>
      <w:proofErr w:type="spellEnd"/>
      <w:r w:rsidRPr="00796285">
        <w:rPr>
          <w:rFonts w:ascii="Arial" w:hAnsi="Arial" w:cs="Arial"/>
        </w:rPr>
        <w:t xml:space="preserve"> del inciso k) del artículo 8 de la Ley No. 2066 hacen referencia a la provisión de los servicios básicos a través de las entidades mixtas como una forma de constitución de una Entidad Prestadora de Servicios de Agua Potable y Alcantarillado Sanitario (EPSA). </w:t>
      </w:r>
    </w:p>
    <w:p w14:paraId="2A0E4DF4" w14:textId="77777777" w:rsidR="00786E28" w:rsidRPr="00796285" w:rsidRDefault="00786E28" w:rsidP="00786E28">
      <w:pPr>
        <w:spacing w:line="240" w:lineRule="auto"/>
        <w:jc w:val="both"/>
        <w:rPr>
          <w:rFonts w:ascii="Arial" w:hAnsi="Arial" w:cs="Arial"/>
        </w:rPr>
      </w:pPr>
      <w:r w:rsidRPr="00796285">
        <w:rPr>
          <w:rFonts w:ascii="Arial" w:hAnsi="Arial" w:cs="Arial"/>
        </w:rPr>
        <w:lastRenderedPageBreak/>
        <w:t xml:space="preserve">Un claro ejemplo de este tipo de EPSA mixta en nuestro país es la EPSA MANCHACO SAM, Entidad Prestadora de Servicios de Agua Potable y Alcantarillado (EPSA) de la Mancomunidad del Chaco y la Empresa SAM Bustillos. </w:t>
      </w:r>
    </w:p>
    <w:p w14:paraId="01D14DD4"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 EPSA MANCHACO SAM fue conformada como Sociedad Anónima Mixta (SAM) el 19 de julio del 2002; su creación es el resultado de la voluntad, decisión y unión de seis municipios del Chaco Boliviano: Camiri, </w:t>
      </w:r>
      <w:proofErr w:type="spellStart"/>
      <w:r w:rsidRPr="00796285">
        <w:rPr>
          <w:rFonts w:ascii="Arial" w:hAnsi="Arial" w:cs="Arial"/>
        </w:rPr>
        <w:t>Boyuibe</w:t>
      </w:r>
      <w:proofErr w:type="spellEnd"/>
      <w:r w:rsidRPr="00796285">
        <w:rPr>
          <w:rFonts w:ascii="Arial" w:hAnsi="Arial" w:cs="Arial"/>
        </w:rPr>
        <w:t xml:space="preserve"> y Lagunillas de la Provincia Cordillera del Departamento de Santa Cruz; Villa Vaca Guzmán de la provincia Luis Calvo, Monteagudo </w:t>
      </w:r>
      <w:proofErr w:type="spellStart"/>
      <w:r w:rsidRPr="00796285">
        <w:rPr>
          <w:rFonts w:ascii="Arial" w:hAnsi="Arial" w:cs="Arial"/>
        </w:rPr>
        <w:t>Candúa</w:t>
      </w:r>
      <w:proofErr w:type="spellEnd"/>
      <w:r w:rsidRPr="00796285">
        <w:rPr>
          <w:rFonts w:ascii="Arial" w:hAnsi="Arial" w:cs="Arial"/>
        </w:rPr>
        <w:t>, de la provincia Hernando Siles del Departamento de Chuquisaca y Villa Montes de la provincia Gran Chaco del Departamento de Tarija, quienes decidieron tener un empresa de agua única, que pueda mantenerse con sus propios recursos económicos y que en el corto y mediano plazo, brinde servicios de calidad a toda la población de la Mancomunidad, que alcanza a unos 65 mil habitantes.</w:t>
      </w:r>
    </w:p>
    <w:p w14:paraId="55A37CBB"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Sin embargo, de conformidad a lo determinado en el artículo 1 de la Ley No. 3602, en su disposición transitoria primera la EPSA MANCHACO S.A.M., conformada por decisión de los operadores de servicios, Gobiernos Municipales y población de las localidades de Camiri, </w:t>
      </w:r>
      <w:proofErr w:type="spellStart"/>
      <w:r w:rsidRPr="00796285">
        <w:rPr>
          <w:rFonts w:ascii="Arial" w:hAnsi="Arial" w:cs="Arial"/>
        </w:rPr>
        <w:t>Boyuibe</w:t>
      </w:r>
      <w:proofErr w:type="spellEnd"/>
      <w:r w:rsidRPr="00796285">
        <w:rPr>
          <w:rFonts w:ascii="Arial" w:hAnsi="Arial" w:cs="Arial"/>
        </w:rPr>
        <w:t>, Lagunillas, Villa Vaca Guzmán, Monteagudo y Villamontes en el Chaco Boliviano, y la EPSA S.A.M. BUSTILLOS, en conformación en las localidades de Llallagua, Catavi y Siglo XX de la Provincia Bustillo del Departamento de Potosí, deberían adecuar sus Estatutos y Reglamentos a las disposiciones contenidas en la citada Ley y su Reglamento, así como suscribir los correspondiente contratos de uso de superficie y/o comodato, previstos en la citada Ley y su Reglamento, correspondiéndole a las Prefecturas de los Departamentos de Santa Cruz y Potosí reconocer la personalidad jurídica de ambas.</w:t>
      </w:r>
    </w:p>
    <w:p w14:paraId="7BF4ED0C"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En este sentido las Sociedades Anónimas Mixtas se adecuaron a un modelo </w:t>
      </w:r>
      <w:proofErr w:type="spellStart"/>
      <w:r w:rsidRPr="00796285">
        <w:rPr>
          <w:rFonts w:ascii="Arial" w:hAnsi="Arial" w:cs="Arial"/>
        </w:rPr>
        <w:t>mancomunitario</w:t>
      </w:r>
      <w:proofErr w:type="spellEnd"/>
      <w:r w:rsidRPr="00796285">
        <w:rPr>
          <w:rFonts w:ascii="Arial" w:hAnsi="Arial" w:cs="Arial"/>
        </w:rPr>
        <w:t xml:space="preserve"> social, como personas colectivas de carácter social y sin fines de lucro, que en adelante se denominarían `EPSA MANCOMUNITARIA SOCIAL`. </w:t>
      </w:r>
    </w:p>
    <w:p w14:paraId="7E36D167"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De conformidad a lo determinado en el artículo tercero de la Ley No. 3602, las EPSA MANCOMUNITARIA SOCIAL serían conformadas, de manera voluntaria, por dos o más Municipios; por uno o más Municipios en asociación con una o más EPSA; o por asociación de </w:t>
      </w:r>
      <w:proofErr w:type="spellStart"/>
      <w:r w:rsidRPr="00796285">
        <w:rPr>
          <w:rFonts w:ascii="Arial" w:hAnsi="Arial" w:cs="Arial"/>
        </w:rPr>
        <w:t>EPSAs</w:t>
      </w:r>
      <w:proofErr w:type="spellEnd"/>
      <w:r w:rsidRPr="00796285">
        <w:rPr>
          <w:rFonts w:ascii="Arial" w:hAnsi="Arial" w:cs="Arial"/>
        </w:rPr>
        <w:t xml:space="preserve">.  Las EPSA MANCOMUNITARIA SOCIAL se constituirán mediante documento público y contarán con Estatuto y Reglamento propios. </w:t>
      </w:r>
    </w:p>
    <w:p w14:paraId="180C59ED"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 personalidad jurídica de las EPSA MANCOMUNITARIA SOCIAL debe ser reconocida por Resolución </w:t>
      </w:r>
      <w:proofErr w:type="spellStart"/>
      <w:r w:rsidRPr="00796285">
        <w:rPr>
          <w:rFonts w:ascii="Arial" w:hAnsi="Arial" w:cs="Arial"/>
        </w:rPr>
        <w:t>Prefectural</w:t>
      </w:r>
      <w:proofErr w:type="spellEnd"/>
      <w:r w:rsidRPr="00796285">
        <w:rPr>
          <w:rFonts w:ascii="Arial" w:hAnsi="Arial" w:cs="Arial"/>
        </w:rPr>
        <w:t xml:space="preserve">.  La Constitución y funcionamiento de las EPSA MANCOMUNITARIA SOCIAL, se regirán por las normas del Código Civil Boliviano. La prestación de servicios de agua potable y alcantarillado sanitario de las EPSA M. S., estará regida por las normas aplicables al sector de Saneamiento Básico. </w:t>
      </w:r>
    </w:p>
    <w:p w14:paraId="2CE2962A"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Las EPSA MANCOMUNITARIA SOCIAL, en su condición de persona colectiva de carácter social, podrán realizar todo tipo de actos civiles, laborales, financieros, de seguros y otros que convengan a sus fines y no sean contrarios a su calidad de entidad sin fines de lucro. III. La contratación de obras, bienes y servicios a cargo de las EPSA MANCOMUNITARIA SOCIAL, se regirá por sus Reglamentos, de conformidad a las disposiciones legales que regulan las fuentes de financiamiento. </w:t>
      </w:r>
    </w:p>
    <w:p w14:paraId="0BA7A486" w14:textId="77777777" w:rsidR="00786E28" w:rsidRDefault="00786E28" w:rsidP="00786E28">
      <w:pPr>
        <w:spacing w:line="240" w:lineRule="auto"/>
        <w:jc w:val="both"/>
        <w:rPr>
          <w:rFonts w:ascii="Arial" w:hAnsi="Arial" w:cs="Arial"/>
        </w:rPr>
      </w:pPr>
      <w:r w:rsidRPr="00796285">
        <w:rPr>
          <w:rFonts w:ascii="Arial" w:hAnsi="Arial" w:cs="Arial"/>
        </w:rPr>
        <w:t xml:space="preserve">ARTICULO 5°. - (Composición del Nivel de Máxima Dirección). ARTICULO 6°. - (Patrimonio y Financiamiento de las EPSA). I. Las EPSA MANCOMUNITARIA SOCIAL conformarán su patrimonio con recursos provenientes de aporte de bienes y de capital otorgados por las entidades que la conforman, recursos de donación, ingresos por la prestación del servicio y otros </w:t>
      </w:r>
      <w:r w:rsidRPr="00796285">
        <w:rPr>
          <w:rFonts w:ascii="Arial" w:hAnsi="Arial" w:cs="Arial"/>
        </w:rPr>
        <w:lastRenderedPageBreak/>
        <w:t>recursos provenientes del Gobierno Nacional, Prefectura de Departamentos y Gobiernos Municipales. II. Las EPSA MANCOMUNITARIA SOCIAL también serán consideradas sujetos de crédito público y serán susceptibles de beneficiarse de transferencias, tanto de recursos de financiamiento externo como de otros recursos financieros, bajo la garantía de los Gobiernos Municipales o Prefecturas Departamentales, previa aprobación de las instancias pertinentes, conforme a Ley. III. Las EPSA M. S. y su patrimonio se ponderarán como bienes de carácter social de la población beneficiaría, de los Gobiernos Municipales si participarán, y de las EPSA integrantes, si existiesen. IV. El patrimonio de las EPSA no podrá ser desagregado o individualizado entre sus componentes, ni convertido en acciones, debiendo mantenerse a cargo de las EPSA MANCOMUNITARIA SOCIAL en forma indisoluble, no pudiendo ser objeto de transacciones comerciales ni de reparto de dividendos u otra forma de beneficio lucrativo. V. Los excedentes de la EPSA MANCOMUNITARIA SOCIAL serán reinvertidos en ampliación o mejoramiento de los servicios. VI. En caso de disolución de las EPSA MANCOMUNITARIA SOCIAL, su patrimonio será transferido a título no oneroso al nuevo operador público de los servicios de agua potable y alcantarillado sanitario o de otra EPSA MANCOMUNITARIA SOCIAL con participación Municipal, sin perder su carácter social.</w:t>
      </w:r>
    </w:p>
    <w:p w14:paraId="56E31DBE" w14:textId="77777777" w:rsidR="00DC68F3" w:rsidRDefault="00DC68F3"/>
    <w:sectPr w:rsidR="00DC6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738C"/>
    <w:multiLevelType w:val="hybridMultilevel"/>
    <w:tmpl w:val="9A148DDC"/>
    <w:lvl w:ilvl="0" w:tplc="400A0017">
      <w:start w:val="1"/>
      <w:numFmt w:val="lowerLetter"/>
      <w:lvlText w:val="%1)"/>
      <w:lvlJc w:val="left"/>
      <w:pPr>
        <w:ind w:left="1068" w:hanging="360"/>
      </w:pPr>
    </w:lvl>
    <w:lvl w:ilvl="1" w:tplc="B8368BAA">
      <w:numFmt w:val="bullet"/>
      <w:lvlText w:val="•"/>
      <w:lvlJc w:val="left"/>
      <w:pPr>
        <w:ind w:left="2418" w:hanging="990"/>
      </w:pPr>
      <w:rPr>
        <w:rFonts w:ascii="Arial" w:eastAsia="Calibri" w:hAnsi="Arial" w:cs="Arial" w:hint="default"/>
      </w:r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 w15:restartNumberingAfterBreak="0">
    <w:nsid w:val="10431313"/>
    <w:multiLevelType w:val="hybridMultilevel"/>
    <w:tmpl w:val="0B52A38E"/>
    <w:lvl w:ilvl="0" w:tplc="FFFFFFFF">
      <w:start w:val="1"/>
      <w:numFmt w:val="lowerLetter"/>
      <w:lvlText w:val="%1)"/>
      <w:lvlJc w:val="left"/>
      <w:pPr>
        <w:ind w:left="1068" w:hanging="360"/>
      </w:pPr>
    </w:lvl>
    <w:lvl w:ilvl="1" w:tplc="82A69C30">
      <w:start w:val="1"/>
      <w:numFmt w:val="bullet"/>
      <w:lvlText w:val=""/>
      <w:lvlJc w:val="left"/>
      <w:pPr>
        <w:ind w:left="1495" w:hanging="360"/>
      </w:pPr>
      <w:rPr>
        <w:rFonts w:ascii="Symbol" w:hAnsi="Symbo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1AEE55C2"/>
    <w:multiLevelType w:val="hybridMultilevel"/>
    <w:tmpl w:val="8DB84162"/>
    <w:lvl w:ilvl="0" w:tplc="400A0017">
      <w:start w:val="1"/>
      <w:numFmt w:val="lowerLetter"/>
      <w:lvlText w:val="%1)"/>
      <w:lvlJc w:val="left"/>
      <w:pPr>
        <w:ind w:left="1068" w:hanging="360"/>
      </w:p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3" w15:restartNumberingAfterBreak="0">
    <w:nsid w:val="1DDB0566"/>
    <w:multiLevelType w:val="hybridMultilevel"/>
    <w:tmpl w:val="A88C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B255F"/>
    <w:multiLevelType w:val="hybridMultilevel"/>
    <w:tmpl w:val="8DB84162"/>
    <w:lvl w:ilvl="0" w:tplc="400A0017">
      <w:start w:val="1"/>
      <w:numFmt w:val="lowerLetter"/>
      <w:lvlText w:val="%1)"/>
      <w:lvlJc w:val="left"/>
      <w:pPr>
        <w:ind w:left="1353" w:hanging="360"/>
      </w:p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5" w15:restartNumberingAfterBreak="0">
    <w:nsid w:val="2A7B71EF"/>
    <w:multiLevelType w:val="hybridMultilevel"/>
    <w:tmpl w:val="124C2B1C"/>
    <w:lvl w:ilvl="0" w:tplc="82A69C30">
      <w:start w:val="1"/>
      <w:numFmt w:val="bullet"/>
      <w:lvlText w:val=""/>
      <w:lvlJc w:val="left"/>
      <w:pPr>
        <w:ind w:left="1495" w:hanging="360"/>
      </w:pPr>
      <w:rPr>
        <w:rFonts w:ascii="Symbol" w:hAnsi="Symbol" w:hint="default"/>
      </w:rPr>
    </w:lvl>
    <w:lvl w:ilvl="1" w:tplc="FFFFFFFF" w:tentative="1">
      <w:start w:val="1"/>
      <w:numFmt w:val="bullet"/>
      <w:lvlText w:val="o"/>
      <w:lvlJc w:val="left"/>
      <w:pPr>
        <w:ind w:left="2215" w:hanging="360"/>
      </w:pPr>
      <w:rPr>
        <w:rFonts w:ascii="Courier New" w:hAnsi="Courier New" w:cs="Courier New"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6" w15:restartNumberingAfterBreak="0">
    <w:nsid w:val="2B033CB7"/>
    <w:multiLevelType w:val="hybridMultilevel"/>
    <w:tmpl w:val="620CCB6A"/>
    <w:lvl w:ilvl="0" w:tplc="01D6B1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BE"/>
    <w:multiLevelType w:val="hybridMultilevel"/>
    <w:tmpl w:val="8DB84162"/>
    <w:lvl w:ilvl="0" w:tplc="400A0017">
      <w:start w:val="1"/>
      <w:numFmt w:val="lowerLetter"/>
      <w:lvlText w:val="%1)"/>
      <w:lvlJc w:val="left"/>
      <w:pPr>
        <w:ind w:left="1353" w:hanging="360"/>
      </w:p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8" w15:restartNumberingAfterBreak="0">
    <w:nsid w:val="7B1E7DFC"/>
    <w:multiLevelType w:val="hybridMultilevel"/>
    <w:tmpl w:val="8DB8416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28"/>
    <w:rsid w:val="0056456F"/>
    <w:rsid w:val="00786E28"/>
    <w:rsid w:val="00DC68F3"/>
    <w:rsid w:val="00FB2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04E55"/>
  <w15:chartTrackingRefBased/>
  <w15:docId w15:val="{529B0739-4DB1-4D4D-8439-1614E62E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28"/>
    <w:pPr>
      <w:spacing w:after="200" w:line="276" w:lineRule="auto"/>
    </w:pPr>
    <w:rPr>
      <w:rFonts w:ascii="Calibri" w:eastAsia="Calibri" w:hAnsi="Calibri" w:cs="Times New Roman"/>
      <w:lang w:val="es-BO"/>
    </w:rPr>
  </w:style>
  <w:style w:type="paragraph" w:styleId="Ttulo2">
    <w:name w:val="heading 2"/>
    <w:basedOn w:val="Normal"/>
    <w:next w:val="Normal"/>
    <w:link w:val="Ttulo2Car"/>
    <w:uiPriority w:val="9"/>
    <w:unhideWhenUsed/>
    <w:qFormat/>
    <w:rsid w:val="00786E2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86E28"/>
    <w:rPr>
      <w:rFonts w:asciiTheme="majorHAnsi" w:eastAsiaTheme="majorEastAsia" w:hAnsiTheme="majorHAnsi" w:cstheme="majorBidi"/>
      <w:color w:val="2F5496" w:themeColor="accent1" w:themeShade="BF"/>
      <w:sz w:val="26"/>
      <w:szCs w:val="26"/>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786E28"/>
    <w:pPr>
      <w:ind w:left="720"/>
      <w:contextualSpacing/>
    </w:p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786E28"/>
    <w:rPr>
      <w:rFonts w:ascii="Calibri" w:eastAsia="Calibri" w:hAnsi="Calibri" w:cs="Times New Roman"/>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3778</Words>
  <Characters>21535</Characters>
  <Application>Microsoft Office Word</Application>
  <DocSecurity>0</DocSecurity>
  <Lines>179</Lines>
  <Paragraphs>50</Paragraphs>
  <ScaleCrop>false</ScaleCrop>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2</cp:revision>
  <dcterms:created xsi:type="dcterms:W3CDTF">2022-03-02T00:45:00Z</dcterms:created>
  <dcterms:modified xsi:type="dcterms:W3CDTF">2022-03-02T00:45:00Z</dcterms:modified>
</cp:coreProperties>
</file>